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1F4780" w14:textId="77777777" w:rsidR="002142C6" w:rsidRDefault="00B660DA" w:rsidP="00CE5762">
      <w:bookmarkStart w:id="0" w:name="_GoBack"/>
      <w:bookmarkEnd w:id="0"/>
      <w:r>
        <w:rPr>
          <w:noProof/>
          <w:lang w:val="en-AU" w:eastAsia="en-AU"/>
        </w:rPr>
        <w:drawing>
          <wp:anchor distT="0" distB="0" distL="114300" distR="114300" simplePos="0" relativeHeight="251660288" behindDoc="1" locked="0" layoutInCell="1" allowOverlap="1" wp14:anchorId="63EC434F" wp14:editId="79DF1F83">
            <wp:simplePos x="0" y="0"/>
            <wp:positionH relativeFrom="column">
              <wp:align>left</wp:align>
            </wp:positionH>
            <wp:positionV relativeFrom="page">
              <wp:posOffset>0</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7F41">
        <w:t xml:space="preserve"> </w:t>
      </w:r>
    </w:p>
    <w:p w14:paraId="4C06F9B4" w14:textId="164B0341" w:rsidR="00BE2F83" w:rsidRDefault="00BE2F83" w:rsidP="00CE5762">
      <w:pPr>
        <w:pStyle w:val="Titlecover"/>
      </w:pPr>
      <w:r>
        <mc:AlternateContent>
          <mc:Choice Requires="wps">
            <w:drawing>
              <wp:anchor distT="0" distB="0" distL="114300" distR="114300" simplePos="0" relativeHeight="251659264" behindDoc="0" locked="0" layoutInCell="1" allowOverlap="1" wp14:anchorId="7FC8E16B" wp14:editId="587CB763">
                <wp:simplePos x="0" y="0"/>
                <wp:positionH relativeFrom="column">
                  <wp:posOffset>-6743700</wp:posOffset>
                </wp:positionH>
                <wp:positionV relativeFrom="paragraph">
                  <wp:posOffset>4004310</wp:posOffset>
                </wp:positionV>
                <wp:extent cx="6172200" cy="3886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481D86" w14:textId="77777777" w:rsidR="00D4635F" w:rsidRPr="00860016" w:rsidRDefault="00D4635F" w:rsidP="00CE5762">
                            <w:r w:rsidRPr="00860016">
                              <w:t>Title Goes Here</w:t>
                            </w:r>
                          </w:p>
                          <w:p w14:paraId="37A154AE" w14:textId="77777777" w:rsidR="00D4635F" w:rsidRDefault="00D4635F" w:rsidP="00CE5762">
                            <w:proofErr w:type="gramStart"/>
                            <w:r w:rsidRPr="00860016">
                              <w:t>across</w:t>
                            </w:r>
                            <w:proofErr w:type="gramEnd"/>
                            <w:r w:rsidRPr="00860016">
                              <w:t xml:space="preserve"> two lines</w:t>
                            </w:r>
                          </w:p>
                          <w:p w14:paraId="433A5720" w14:textId="77777777" w:rsidR="00D4635F" w:rsidRPr="00860016" w:rsidRDefault="00D4635F" w:rsidP="00CE5762">
                            <w:r w:rsidRPr="00860016">
                              <w:t>Subtitle (if required) across</w:t>
                            </w:r>
                          </w:p>
                          <w:p w14:paraId="302D3E24" w14:textId="77777777" w:rsidR="00D4635F" w:rsidRPr="00860016" w:rsidRDefault="00D4635F" w:rsidP="00CE5762">
                            <w:proofErr w:type="gramStart"/>
                            <w:r w:rsidRPr="00860016">
                              <w:t>two</w:t>
                            </w:r>
                            <w:proofErr w:type="gramEnd"/>
                            <w:r w:rsidRPr="00860016">
                              <w:t xml:space="preserve"> lines</w:t>
                            </w:r>
                          </w:p>
                          <w:p w14:paraId="52B5CAE9" w14:textId="77777777" w:rsidR="00D4635F" w:rsidRPr="002142C6" w:rsidRDefault="00D4635F" w:rsidP="00CE5762">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FC8E16B" id="_x0000_t202" coordsize="21600,21600" o:spt="202" path="m,l,21600r21600,l21600,xe">
                <v:stroke joinstyle="miter"/>
                <v:path gradientshapeok="t" o:connecttype="rect"/>
              </v:shapetype>
              <v:shape id="Text Box 2" o:spid="_x0000_s1026" type="#_x0000_t202" style="position:absolute;left:0;text-align:left;margin-left:-531pt;margin-top:315.3pt;width:486pt;height:3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" filled="f" stroked="f">
                <v:textbox>
                  <w:txbxContent>
                    <w:p w14:paraId="26481D86" w14:textId="77777777" w:rsidR="00D4635F" w:rsidRPr="00860016" w:rsidRDefault="00D4635F" w:rsidP="00CE5762">
                      <w:r w:rsidRPr="00860016">
                        <w:t>Title Goes Here</w:t>
                      </w:r>
                    </w:p>
                    <w:p w14:paraId="37A154AE" w14:textId="77777777" w:rsidR="00D4635F" w:rsidRDefault="00D4635F" w:rsidP="00CE5762">
                      <w:proofErr w:type="gramStart"/>
                      <w:r w:rsidRPr="00860016">
                        <w:t>across</w:t>
                      </w:r>
                      <w:proofErr w:type="gramEnd"/>
                      <w:r w:rsidRPr="00860016">
                        <w:t xml:space="preserve"> two lines</w:t>
                      </w:r>
                    </w:p>
                    <w:p w14:paraId="433A5720" w14:textId="77777777" w:rsidR="00D4635F" w:rsidRPr="00860016" w:rsidRDefault="00D4635F" w:rsidP="00CE5762">
                      <w:r w:rsidRPr="00860016">
                        <w:t>Subtitle (if required) across</w:t>
                      </w:r>
                    </w:p>
                    <w:p w14:paraId="302D3E24" w14:textId="77777777" w:rsidR="00D4635F" w:rsidRPr="00860016" w:rsidRDefault="00D4635F" w:rsidP="00CE5762">
                      <w:proofErr w:type="gramStart"/>
                      <w:r w:rsidRPr="00860016">
                        <w:t>two</w:t>
                      </w:r>
                      <w:proofErr w:type="gramEnd"/>
                      <w:r w:rsidRPr="00860016">
                        <w:t xml:space="preserve"> lines</w:t>
                      </w:r>
                    </w:p>
                    <w:p w14:paraId="52B5CAE9" w14:textId="77777777" w:rsidR="00D4635F" w:rsidRPr="002142C6" w:rsidRDefault="00D4635F" w:rsidP="00CE5762">
                      <w:r w:rsidRPr="00860016">
                        <w:t>00 Month Year</w:t>
                      </w:r>
                    </w:p>
                  </w:txbxContent>
                </v:textbox>
              </v:shape>
            </w:pict>
          </mc:Fallback>
        </mc:AlternateContent>
      </w:r>
    </w:p>
    <w:p w14:paraId="7AD0A2F3" w14:textId="65E8C913" w:rsidR="00062374" w:rsidRDefault="00062374" w:rsidP="00CE5762">
      <w:pPr>
        <w:pStyle w:val="Subtitlecover"/>
        <w:rPr>
          <w:sz w:val="60"/>
          <w:szCs w:val="60"/>
        </w:rPr>
      </w:pPr>
      <w:r w:rsidRPr="00062374">
        <w:rPr>
          <w:sz w:val="80"/>
          <w:szCs w:val="80"/>
        </w:rPr>
        <w:t>Retail electricity</w:t>
      </w:r>
      <w:r w:rsidR="0038432B">
        <w:rPr>
          <w:sz w:val="80"/>
          <w:szCs w:val="80"/>
        </w:rPr>
        <w:br/>
      </w:r>
      <w:r w:rsidRPr="00062374">
        <w:rPr>
          <w:sz w:val="80"/>
          <w:szCs w:val="80"/>
        </w:rPr>
        <w:t>supply and pricing</w:t>
      </w:r>
      <w:r w:rsidRPr="00062374">
        <w:rPr>
          <w:sz w:val="60"/>
          <w:szCs w:val="60"/>
        </w:rPr>
        <w:t xml:space="preserve"> </w:t>
      </w:r>
    </w:p>
    <w:p w14:paraId="42A64023" w14:textId="31083007" w:rsidR="002142C6" w:rsidRPr="00062374" w:rsidRDefault="002C4630" w:rsidP="00CE5762">
      <w:pPr>
        <w:pStyle w:val="Subtitlecover"/>
        <w:rPr>
          <w:sz w:val="36"/>
          <w:szCs w:val="36"/>
        </w:rPr>
      </w:pPr>
      <w:r w:rsidRPr="00062374">
        <w:rPr>
          <w:sz w:val="36"/>
          <w:szCs w:val="36"/>
        </w:rPr>
        <w:t xml:space="preserve">Submission </w:t>
      </w:r>
      <w:r w:rsidR="005E1DD9" w:rsidRPr="00062374">
        <w:rPr>
          <w:sz w:val="36"/>
          <w:szCs w:val="36"/>
        </w:rPr>
        <w:t xml:space="preserve">to </w:t>
      </w:r>
      <w:r w:rsidR="00FC4BF9" w:rsidRPr="00062374">
        <w:rPr>
          <w:sz w:val="36"/>
          <w:szCs w:val="36"/>
        </w:rPr>
        <w:t xml:space="preserve">the </w:t>
      </w:r>
      <w:r w:rsidR="00930888" w:rsidRPr="00062374">
        <w:rPr>
          <w:sz w:val="36"/>
          <w:szCs w:val="36"/>
        </w:rPr>
        <w:t xml:space="preserve">Australian Competition </w:t>
      </w:r>
      <w:r w:rsidR="00062374" w:rsidRPr="00062374">
        <w:rPr>
          <w:sz w:val="36"/>
          <w:szCs w:val="36"/>
        </w:rPr>
        <w:t>and Consumer Commission inquiry</w:t>
      </w:r>
    </w:p>
    <w:p w14:paraId="73072601" w14:textId="7E0ECE0E" w:rsidR="001607B4" w:rsidRPr="001607B4" w:rsidRDefault="00930888" w:rsidP="005E1DD9">
      <w:pPr>
        <w:pStyle w:val="Datecover"/>
        <w:sectPr w:rsidR="001607B4" w:rsidRPr="001607B4"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r>
        <w:t>July</w:t>
      </w:r>
      <w:r w:rsidR="005E1DD9">
        <w:t xml:space="preserve"> 2017</w:t>
      </w:r>
    </w:p>
    <w:p w14:paraId="7449E6ED" w14:textId="77777777" w:rsidR="00027A57" w:rsidRPr="004C3261" w:rsidRDefault="00027A57" w:rsidP="00027A57">
      <w:pPr>
        <w:pStyle w:val="Abouthead"/>
        <w:ind w:left="6521"/>
      </w:pPr>
      <w:r>
        <w:rPr>
          <w:noProof/>
          <w:lang w:val="en-AU" w:eastAsia="en-AU"/>
        </w:rPr>
        <w:lastRenderedPageBreak/>
        <w:drawing>
          <wp:anchor distT="0" distB="0" distL="114300" distR="114300" simplePos="0" relativeHeight="251667456" behindDoc="1" locked="0" layoutInCell="1" allowOverlap="1" wp14:anchorId="439431FF" wp14:editId="274EE618">
            <wp:simplePos x="0" y="0"/>
            <wp:positionH relativeFrom="page">
              <wp:posOffset>-247650</wp:posOffset>
            </wp:positionH>
            <wp:positionV relativeFrom="paragraph">
              <wp:posOffset>-361315</wp:posOffset>
            </wp:positionV>
            <wp:extent cx="8272800" cy="116964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4C3261">
        <w:t>About VCOSS</w:t>
      </w:r>
    </w:p>
    <w:p w14:paraId="522D07F6" w14:textId="780E71B6" w:rsidR="00027A57" w:rsidRDefault="00027A57" w:rsidP="00027A57">
      <w:pPr>
        <w:pStyle w:val="Abouttext"/>
        <w:ind w:left="6521"/>
      </w:pPr>
      <w:r w:rsidRPr="009B534B">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r>
        <w:br/>
      </w:r>
      <w:r w:rsidRPr="009F303B">
        <w:rPr>
          <w:sz w:val="4"/>
          <w:szCs w:val="4"/>
        </w:rPr>
        <w:br/>
      </w:r>
      <w:r>
        <w:t>This submi</w:t>
      </w:r>
      <w:r w:rsidR="002C4630">
        <w:t>ssion was prepared for VCOSS by Emma O’Neill.</w:t>
      </w:r>
      <w:r>
        <w:br/>
      </w:r>
      <w:r w:rsidRPr="009F303B">
        <w:rPr>
          <w:sz w:val="8"/>
          <w:szCs w:val="8"/>
        </w:rPr>
        <w:br/>
      </w:r>
      <w:r w:rsidRPr="009F303B">
        <w:rPr>
          <w:b/>
        </w:rPr>
        <w:t>Authorised by:</w:t>
      </w:r>
      <w:r w:rsidRPr="009B534B">
        <w:br/>
      </w:r>
      <w:r w:rsidRPr="001607B4">
        <w:t>Emma King, Chief Ex</w:t>
      </w:r>
      <w:r>
        <w:t>ecutive Officer</w:t>
      </w:r>
      <w:r>
        <w:br/>
      </w:r>
      <w:r w:rsidRPr="00C816F1">
        <w:rPr>
          <w:sz w:val="8"/>
          <w:szCs w:val="8"/>
        </w:rPr>
        <w:br/>
      </w:r>
      <w:r w:rsidR="00EA3C8B">
        <w:t>© Copyright 2017</w:t>
      </w:r>
      <w:r w:rsidRPr="001607B4">
        <w:t xml:space="preserve"> </w:t>
      </w:r>
      <w:r w:rsidRPr="001607B4">
        <w:br/>
        <w:t>Victorian Council of Social Service</w:t>
      </w:r>
      <w:r w:rsidRPr="009B534B">
        <w:br/>
      </w:r>
      <w:r w:rsidRPr="001607B4">
        <w:t>Level 8, 128 Exhibition Street</w:t>
      </w:r>
      <w:r w:rsidRPr="001607B4">
        <w:br/>
        <w:t>Melbourne, Victoria, 3000</w:t>
      </w:r>
      <w:r w:rsidRPr="001607B4">
        <w:br/>
        <w:t>+61 3 9235 1000</w:t>
      </w:r>
      <w:r>
        <w:br/>
      </w:r>
      <w:r w:rsidRPr="009F303B">
        <w:rPr>
          <w:sz w:val="4"/>
          <w:szCs w:val="4"/>
        </w:rPr>
        <w:br/>
      </w:r>
      <w:r w:rsidRPr="009F303B">
        <w:rPr>
          <w:b/>
        </w:rPr>
        <w:t>For enquiries:</w:t>
      </w:r>
      <w:r w:rsidRPr="009F303B">
        <w:rPr>
          <w:b/>
        </w:rPr>
        <w:br/>
      </w:r>
      <w:r w:rsidR="001F0F30">
        <w:t>Llewellyn Reynders, Policy Manager</w:t>
      </w:r>
      <w:r w:rsidRPr="00027A57">
        <w:rPr>
          <w:color w:val="FF0000"/>
        </w:rPr>
        <w:br/>
      </w:r>
      <w:r w:rsidRPr="001607B4">
        <w:t>Email</w:t>
      </w:r>
      <w:r>
        <w:t xml:space="preserve">: </w:t>
      </w:r>
      <w:r w:rsidR="001F0F30">
        <w:t>llewellyn.reynders@vcoss.org.au</w:t>
      </w:r>
    </w:p>
    <w:p w14:paraId="24973792" w14:textId="77777777" w:rsidR="00027A57" w:rsidRDefault="00027A57" w:rsidP="00027A57">
      <w:pPr>
        <w:pStyle w:val="Abouttext"/>
        <w:ind w:left="6521"/>
      </w:pPr>
      <w:r w:rsidRPr="00795AFD">
        <w:t xml:space="preserve">VCOSS </w:t>
      </w:r>
      <w:r>
        <w:t>a</w:t>
      </w:r>
      <w:r w:rsidRPr="00795AFD">
        <w:t>cknowledges the tradi</w:t>
      </w:r>
      <w:r>
        <w:t>ti</w:t>
      </w:r>
      <w:r w:rsidRPr="00795AFD">
        <w:t>onal owners of country and pays its respects to Elders past and present.</w:t>
      </w:r>
    </w:p>
    <w:p w14:paraId="583B8F4A" w14:textId="77777777" w:rsidR="00D55AC4" w:rsidRDefault="00D55AC4" w:rsidP="00CE5762">
      <w:pPr>
        <w:pStyle w:val="Aboutdetails"/>
        <w:sectPr w:rsidR="00D55AC4" w:rsidSect="00965DDD">
          <w:pgSz w:w="11900" w:h="16840"/>
          <w:pgMar w:top="0" w:right="0" w:bottom="0" w:left="0" w:header="0" w:footer="0" w:gutter="0"/>
          <w:cols w:space="708"/>
          <w:docGrid w:linePitch="360"/>
        </w:sectPr>
      </w:pPr>
    </w:p>
    <w:sdt>
      <w:sdtPr>
        <w:rPr>
          <w:b w:val="0"/>
          <w:color w:val="auto"/>
          <w:sz w:val="22"/>
          <w:szCs w:val="20"/>
          <w:lang w:eastAsia="en-US"/>
        </w:rPr>
        <w:id w:val="1440406447"/>
        <w:docPartObj>
          <w:docPartGallery w:val="Table of Contents"/>
          <w:docPartUnique/>
        </w:docPartObj>
      </w:sdtPr>
      <w:sdtEndPr>
        <w:rPr>
          <w:bCs/>
          <w:noProof/>
        </w:rPr>
      </w:sdtEndPr>
      <w:sdtContent>
        <w:p w14:paraId="7FF4ED02" w14:textId="77777777" w:rsidR="00BF4B30" w:rsidRDefault="00BF4B30">
          <w:pPr>
            <w:pStyle w:val="TOCHeading"/>
          </w:pPr>
          <w:r>
            <w:t>Contents</w:t>
          </w:r>
        </w:p>
        <w:p w14:paraId="40824874" w14:textId="77777777" w:rsidR="00FA7B5E" w:rsidRDefault="00BF4B30">
          <w:pPr>
            <w:pStyle w:val="TOC1"/>
            <w:tabs>
              <w:tab w:val="right" w:leader="dot" w:pos="9622"/>
            </w:tabs>
            <w:rPr>
              <w:rFonts w:asciiTheme="minorHAnsi" w:hAnsiTheme="minorHAnsi" w:cstheme="minorBidi"/>
              <w:noProof/>
              <w:szCs w:val="22"/>
              <w:lang w:val="en-AU" w:eastAsia="en-AU"/>
            </w:rPr>
          </w:pPr>
          <w:r>
            <w:fldChar w:fldCharType="begin"/>
          </w:r>
          <w:r>
            <w:instrText xml:space="preserve"> TOC \o "1-3" \h \z \u </w:instrText>
          </w:r>
          <w:r>
            <w:fldChar w:fldCharType="separate"/>
          </w:r>
          <w:hyperlink w:anchor="_Toc487183896" w:history="1">
            <w:r w:rsidR="00FA7B5E" w:rsidRPr="00F350EA">
              <w:rPr>
                <w:rStyle w:val="Hyperlink"/>
                <w:noProof/>
              </w:rPr>
              <w:t>Glossary</w:t>
            </w:r>
            <w:r w:rsidR="00FA7B5E">
              <w:rPr>
                <w:noProof/>
                <w:webHidden/>
              </w:rPr>
              <w:tab/>
            </w:r>
            <w:r w:rsidR="00FA7B5E">
              <w:rPr>
                <w:noProof/>
                <w:webHidden/>
              </w:rPr>
              <w:fldChar w:fldCharType="begin"/>
            </w:r>
            <w:r w:rsidR="00FA7B5E">
              <w:rPr>
                <w:noProof/>
                <w:webHidden/>
              </w:rPr>
              <w:instrText xml:space="preserve"> PAGEREF _Toc487183896 \h </w:instrText>
            </w:r>
            <w:r w:rsidR="00FA7B5E">
              <w:rPr>
                <w:noProof/>
                <w:webHidden/>
              </w:rPr>
            </w:r>
            <w:r w:rsidR="00FA7B5E">
              <w:rPr>
                <w:noProof/>
                <w:webHidden/>
              </w:rPr>
              <w:fldChar w:fldCharType="separate"/>
            </w:r>
            <w:r w:rsidR="00952F6F">
              <w:rPr>
                <w:noProof/>
                <w:webHidden/>
              </w:rPr>
              <w:t>2</w:t>
            </w:r>
            <w:r w:rsidR="00FA7B5E">
              <w:rPr>
                <w:noProof/>
                <w:webHidden/>
              </w:rPr>
              <w:fldChar w:fldCharType="end"/>
            </w:r>
          </w:hyperlink>
        </w:p>
        <w:p w14:paraId="61226613" w14:textId="77777777" w:rsidR="00FA7B5E" w:rsidRDefault="00952F6F">
          <w:pPr>
            <w:pStyle w:val="TOC1"/>
            <w:tabs>
              <w:tab w:val="right" w:leader="dot" w:pos="9622"/>
            </w:tabs>
            <w:rPr>
              <w:rFonts w:asciiTheme="minorHAnsi" w:hAnsiTheme="minorHAnsi" w:cstheme="minorBidi"/>
              <w:noProof/>
              <w:szCs w:val="22"/>
              <w:lang w:val="en-AU" w:eastAsia="en-AU"/>
            </w:rPr>
          </w:pPr>
          <w:hyperlink w:anchor="_Toc487183897" w:history="1">
            <w:r w:rsidR="00FA7B5E" w:rsidRPr="00F350EA">
              <w:rPr>
                <w:rStyle w:val="Hyperlink"/>
                <w:noProof/>
                <w:lang w:val="en-AU"/>
              </w:rPr>
              <w:t>High electricity prices harm people on low incomes</w:t>
            </w:r>
            <w:r w:rsidR="00FA7B5E">
              <w:rPr>
                <w:noProof/>
                <w:webHidden/>
              </w:rPr>
              <w:tab/>
            </w:r>
            <w:r w:rsidR="00FA7B5E">
              <w:rPr>
                <w:noProof/>
                <w:webHidden/>
              </w:rPr>
              <w:fldChar w:fldCharType="begin"/>
            </w:r>
            <w:r w:rsidR="00FA7B5E">
              <w:rPr>
                <w:noProof/>
                <w:webHidden/>
              </w:rPr>
              <w:instrText xml:space="preserve"> PAGEREF _Toc487183897 \h </w:instrText>
            </w:r>
            <w:r w:rsidR="00FA7B5E">
              <w:rPr>
                <w:noProof/>
                <w:webHidden/>
              </w:rPr>
            </w:r>
            <w:r w:rsidR="00FA7B5E">
              <w:rPr>
                <w:noProof/>
                <w:webHidden/>
              </w:rPr>
              <w:fldChar w:fldCharType="separate"/>
            </w:r>
            <w:r>
              <w:rPr>
                <w:noProof/>
                <w:webHidden/>
              </w:rPr>
              <w:t>3</w:t>
            </w:r>
            <w:r w:rsidR="00FA7B5E">
              <w:rPr>
                <w:noProof/>
                <w:webHidden/>
              </w:rPr>
              <w:fldChar w:fldCharType="end"/>
            </w:r>
          </w:hyperlink>
        </w:p>
        <w:p w14:paraId="7FB2E23B" w14:textId="77777777" w:rsidR="00FA7B5E" w:rsidRDefault="00952F6F">
          <w:pPr>
            <w:pStyle w:val="TOC1"/>
            <w:tabs>
              <w:tab w:val="right" w:leader="dot" w:pos="9622"/>
            </w:tabs>
            <w:rPr>
              <w:rFonts w:asciiTheme="minorHAnsi" w:hAnsiTheme="minorHAnsi" w:cstheme="minorBidi"/>
              <w:noProof/>
              <w:szCs w:val="22"/>
              <w:lang w:val="en-AU" w:eastAsia="en-AU"/>
            </w:rPr>
          </w:pPr>
          <w:hyperlink w:anchor="_Toc487183898" w:history="1">
            <w:r w:rsidR="00FA7B5E" w:rsidRPr="00F350EA">
              <w:rPr>
                <w:rStyle w:val="Hyperlink"/>
                <w:noProof/>
              </w:rPr>
              <w:t>Recommendations</w:t>
            </w:r>
            <w:r w:rsidR="00FA7B5E">
              <w:rPr>
                <w:noProof/>
                <w:webHidden/>
              </w:rPr>
              <w:tab/>
            </w:r>
            <w:r w:rsidR="00FA7B5E">
              <w:rPr>
                <w:noProof/>
                <w:webHidden/>
              </w:rPr>
              <w:fldChar w:fldCharType="begin"/>
            </w:r>
            <w:r w:rsidR="00FA7B5E">
              <w:rPr>
                <w:noProof/>
                <w:webHidden/>
              </w:rPr>
              <w:instrText xml:space="preserve"> PAGEREF _Toc487183898 \h </w:instrText>
            </w:r>
            <w:r w:rsidR="00FA7B5E">
              <w:rPr>
                <w:noProof/>
                <w:webHidden/>
              </w:rPr>
            </w:r>
            <w:r w:rsidR="00FA7B5E">
              <w:rPr>
                <w:noProof/>
                <w:webHidden/>
              </w:rPr>
              <w:fldChar w:fldCharType="separate"/>
            </w:r>
            <w:r>
              <w:rPr>
                <w:noProof/>
                <w:webHidden/>
              </w:rPr>
              <w:t>5</w:t>
            </w:r>
            <w:r w:rsidR="00FA7B5E">
              <w:rPr>
                <w:noProof/>
                <w:webHidden/>
              </w:rPr>
              <w:fldChar w:fldCharType="end"/>
            </w:r>
          </w:hyperlink>
        </w:p>
        <w:p w14:paraId="0C9DF0E4" w14:textId="77777777" w:rsidR="00FA7B5E" w:rsidRDefault="00952F6F">
          <w:pPr>
            <w:pStyle w:val="TOC1"/>
            <w:tabs>
              <w:tab w:val="right" w:leader="dot" w:pos="9622"/>
            </w:tabs>
            <w:rPr>
              <w:rFonts w:asciiTheme="minorHAnsi" w:hAnsiTheme="minorHAnsi" w:cstheme="minorBidi"/>
              <w:noProof/>
              <w:szCs w:val="22"/>
              <w:lang w:val="en-AU" w:eastAsia="en-AU"/>
            </w:rPr>
          </w:pPr>
          <w:hyperlink w:anchor="_Toc487183899" w:history="1">
            <w:r w:rsidR="00FA7B5E" w:rsidRPr="00F350EA">
              <w:rPr>
                <w:rStyle w:val="Hyperlink"/>
                <w:noProof/>
                <w:lang w:val="en-AU"/>
              </w:rPr>
              <w:t>Causes of price increases</w:t>
            </w:r>
            <w:r w:rsidR="00FA7B5E">
              <w:rPr>
                <w:noProof/>
                <w:webHidden/>
              </w:rPr>
              <w:tab/>
            </w:r>
            <w:r w:rsidR="00FA7B5E">
              <w:rPr>
                <w:noProof/>
                <w:webHidden/>
              </w:rPr>
              <w:fldChar w:fldCharType="begin"/>
            </w:r>
            <w:r w:rsidR="00FA7B5E">
              <w:rPr>
                <w:noProof/>
                <w:webHidden/>
              </w:rPr>
              <w:instrText xml:space="preserve"> PAGEREF _Toc487183899 \h </w:instrText>
            </w:r>
            <w:r w:rsidR="00FA7B5E">
              <w:rPr>
                <w:noProof/>
                <w:webHidden/>
              </w:rPr>
            </w:r>
            <w:r w:rsidR="00FA7B5E">
              <w:rPr>
                <w:noProof/>
                <w:webHidden/>
              </w:rPr>
              <w:fldChar w:fldCharType="separate"/>
            </w:r>
            <w:r>
              <w:rPr>
                <w:noProof/>
                <w:webHidden/>
              </w:rPr>
              <w:t>6</w:t>
            </w:r>
            <w:r w:rsidR="00FA7B5E">
              <w:rPr>
                <w:noProof/>
                <w:webHidden/>
              </w:rPr>
              <w:fldChar w:fldCharType="end"/>
            </w:r>
          </w:hyperlink>
        </w:p>
        <w:p w14:paraId="222F0D42" w14:textId="77777777" w:rsidR="00FA7B5E" w:rsidRDefault="00952F6F">
          <w:pPr>
            <w:pStyle w:val="TOC2"/>
            <w:tabs>
              <w:tab w:val="right" w:leader="dot" w:pos="9622"/>
            </w:tabs>
            <w:rPr>
              <w:rFonts w:asciiTheme="minorHAnsi" w:hAnsiTheme="minorHAnsi" w:cstheme="minorBidi"/>
              <w:noProof/>
              <w:szCs w:val="22"/>
              <w:lang w:val="en-AU" w:eastAsia="en-AU"/>
            </w:rPr>
          </w:pPr>
          <w:hyperlink w:anchor="_Toc487183900" w:history="1">
            <w:r w:rsidR="00FA7B5E" w:rsidRPr="00F350EA">
              <w:rPr>
                <w:rStyle w:val="Hyperlink"/>
                <w:noProof/>
              </w:rPr>
              <w:t>Wholesale costs</w:t>
            </w:r>
            <w:r w:rsidR="00FA7B5E">
              <w:rPr>
                <w:noProof/>
                <w:webHidden/>
              </w:rPr>
              <w:tab/>
            </w:r>
            <w:r w:rsidR="00FA7B5E">
              <w:rPr>
                <w:noProof/>
                <w:webHidden/>
              </w:rPr>
              <w:fldChar w:fldCharType="begin"/>
            </w:r>
            <w:r w:rsidR="00FA7B5E">
              <w:rPr>
                <w:noProof/>
                <w:webHidden/>
              </w:rPr>
              <w:instrText xml:space="preserve"> PAGEREF _Toc487183900 \h </w:instrText>
            </w:r>
            <w:r w:rsidR="00FA7B5E">
              <w:rPr>
                <w:noProof/>
                <w:webHidden/>
              </w:rPr>
            </w:r>
            <w:r w:rsidR="00FA7B5E">
              <w:rPr>
                <w:noProof/>
                <w:webHidden/>
              </w:rPr>
              <w:fldChar w:fldCharType="separate"/>
            </w:r>
            <w:r>
              <w:rPr>
                <w:noProof/>
                <w:webHidden/>
              </w:rPr>
              <w:t>7</w:t>
            </w:r>
            <w:r w:rsidR="00FA7B5E">
              <w:rPr>
                <w:noProof/>
                <w:webHidden/>
              </w:rPr>
              <w:fldChar w:fldCharType="end"/>
            </w:r>
          </w:hyperlink>
        </w:p>
        <w:p w14:paraId="021C59D3" w14:textId="77777777" w:rsidR="00FA7B5E" w:rsidRDefault="00952F6F">
          <w:pPr>
            <w:pStyle w:val="TOC2"/>
            <w:tabs>
              <w:tab w:val="right" w:leader="dot" w:pos="9622"/>
            </w:tabs>
            <w:rPr>
              <w:rFonts w:asciiTheme="minorHAnsi" w:hAnsiTheme="minorHAnsi" w:cstheme="minorBidi"/>
              <w:noProof/>
              <w:szCs w:val="22"/>
              <w:lang w:val="en-AU" w:eastAsia="en-AU"/>
            </w:rPr>
          </w:pPr>
          <w:hyperlink w:anchor="_Toc487183901" w:history="1">
            <w:r w:rsidR="00FA7B5E" w:rsidRPr="00F350EA">
              <w:rPr>
                <w:rStyle w:val="Hyperlink"/>
                <w:noProof/>
              </w:rPr>
              <w:t>Network costs</w:t>
            </w:r>
            <w:r w:rsidR="00FA7B5E">
              <w:rPr>
                <w:noProof/>
                <w:webHidden/>
              </w:rPr>
              <w:tab/>
            </w:r>
            <w:r w:rsidR="00FA7B5E">
              <w:rPr>
                <w:noProof/>
                <w:webHidden/>
              </w:rPr>
              <w:fldChar w:fldCharType="begin"/>
            </w:r>
            <w:r w:rsidR="00FA7B5E">
              <w:rPr>
                <w:noProof/>
                <w:webHidden/>
              </w:rPr>
              <w:instrText xml:space="preserve"> PAGEREF _Toc487183901 \h </w:instrText>
            </w:r>
            <w:r w:rsidR="00FA7B5E">
              <w:rPr>
                <w:noProof/>
                <w:webHidden/>
              </w:rPr>
            </w:r>
            <w:r w:rsidR="00FA7B5E">
              <w:rPr>
                <w:noProof/>
                <w:webHidden/>
              </w:rPr>
              <w:fldChar w:fldCharType="separate"/>
            </w:r>
            <w:r>
              <w:rPr>
                <w:noProof/>
                <w:webHidden/>
              </w:rPr>
              <w:t>8</w:t>
            </w:r>
            <w:r w:rsidR="00FA7B5E">
              <w:rPr>
                <w:noProof/>
                <w:webHidden/>
              </w:rPr>
              <w:fldChar w:fldCharType="end"/>
            </w:r>
          </w:hyperlink>
        </w:p>
        <w:p w14:paraId="14AE93A6" w14:textId="77777777" w:rsidR="00FA7B5E" w:rsidRDefault="00952F6F">
          <w:pPr>
            <w:pStyle w:val="TOC2"/>
            <w:tabs>
              <w:tab w:val="right" w:leader="dot" w:pos="9622"/>
            </w:tabs>
            <w:rPr>
              <w:rFonts w:asciiTheme="minorHAnsi" w:hAnsiTheme="minorHAnsi" w:cstheme="minorBidi"/>
              <w:noProof/>
              <w:szCs w:val="22"/>
              <w:lang w:val="en-AU" w:eastAsia="en-AU"/>
            </w:rPr>
          </w:pPr>
          <w:hyperlink w:anchor="_Toc487183902" w:history="1">
            <w:r w:rsidR="00FA7B5E" w:rsidRPr="00F350EA">
              <w:rPr>
                <w:rStyle w:val="Hyperlink"/>
                <w:noProof/>
              </w:rPr>
              <w:t>Environmental scheme and other policy costs</w:t>
            </w:r>
            <w:r w:rsidR="00FA7B5E">
              <w:rPr>
                <w:noProof/>
                <w:webHidden/>
              </w:rPr>
              <w:tab/>
            </w:r>
            <w:r w:rsidR="00FA7B5E">
              <w:rPr>
                <w:noProof/>
                <w:webHidden/>
              </w:rPr>
              <w:fldChar w:fldCharType="begin"/>
            </w:r>
            <w:r w:rsidR="00FA7B5E">
              <w:rPr>
                <w:noProof/>
                <w:webHidden/>
              </w:rPr>
              <w:instrText xml:space="preserve"> PAGEREF _Toc487183902 \h </w:instrText>
            </w:r>
            <w:r w:rsidR="00FA7B5E">
              <w:rPr>
                <w:noProof/>
                <w:webHidden/>
              </w:rPr>
            </w:r>
            <w:r w:rsidR="00FA7B5E">
              <w:rPr>
                <w:noProof/>
                <w:webHidden/>
              </w:rPr>
              <w:fldChar w:fldCharType="separate"/>
            </w:r>
            <w:r>
              <w:rPr>
                <w:noProof/>
                <w:webHidden/>
              </w:rPr>
              <w:t>9</w:t>
            </w:r>
            <w:r w:rsidR="00FA7B5E">
              <w:rPr>
                <w:noProof/>
                <w:webHidden/>
              </w:rPr>
              <w:fldChar w:fldCharType="end"/>
            </w:r>
          </w:hyperlink>
        </w:p>
        <w:p w14:paraId="0863104A" w14:textId="77777777" w:rsidR="00FA7B5E" w:rsidRDefault="00952F6F">
          <w:pPr>
            <w:pStyle w:val="TOC2"/>
            <w:tabs>
              <w:tab w:val="right" w:leader="dot" w:pos="9622"/>
            </w:tabs>
            <w:rPr>
              <w:rFonts w:asciiTheme="minorHAnsi" w:hAnsiTheme="minorHAnsi" w:cstheme="minorBidi"/>
              <w:noProof/>
              <w:szCs w:val="22"/>
              <w:lang w:val="en-AU" w:eastAsia="en-AU"/>
            </w:rPr>
          </w:pPr>
          <w:hyperlink w:anchor="_Toc487183903" w:history="1">
            <w:r w:rsidR="00FA7B5E" w:rsidRPr="00F350EA">
              <w:rPr>
                <w:rStyle w:val="Hyperlink"/>
                <w:noProof/>
              </w:rPr>
              <w:t>Retail costs</w:t>
            </w:r>
            <w:r w:rsidR="00FA7B5E">
              <w:rPr>
                <w:noProof/>
                <w:webHidden/>
              </w:rPr>
              <w:tab/>
            </w:r>
            <w:r w:rsidR="00FA7B5E">
              <w:rPr>
                <w:noProof/>
                <w:webHidden/>
              </w:rPr>
              <w:fldChar w:fldCharType="begin"/>
            </w:r>
            <w:r w:rsidR="00FA7B5E">
              <w:rPr>
                <w:noProof/>
                <w:webHidden/>
              </w:rPr>
              <w:instrText xml:space="preserve"> PAGEREF _Toc487183903 \h </w:instrText>
            </w:r>
            <w:r w:rsidR="00FA7B5E">
              <w:rPr>
                <w:noProof/>
                <w:webHidden/>
              </w:rPr>
            </w:r>
            <w:r w:rsidR="00FA7B5E">
              <w:rPr>
                <w:noProof/>
                <w:webHidden/>
              </w:rPr>
              <w:fldChar w:fldCharType="separate"/>
            </w:r>
            <w:r>
              <w:rPr>
                <w:noProof/>
                <w:webHidden/>
              </w:rPr>
              <w:t>10</w:t>
            </w:r>
            <w:r w:rsidR="00FA7B5E">
              <w:rPr>
                <w:noProof/>
                <w:webHidden/>
              </w:rPr>
              <w:fldChar w:fldCharType="end"/>
            </w:r>
          </w:hyperlink>
        </w:p>
        <w:p w14:paraId="264C4AD3" w14:textId="77777777" w:rsidR="00FA7B5E" w:rsidRDefault="00952F6F">
          <w:pPr>
            <w:pStyle w:val="TOC2"/>
            <w:tabs>
              <w:tab w:val="right" w:leader="dot" w:pos="9622"/>
            </w:tabs>
            <w:rPr>
              <w:rFonts w:asciiTheme="minorHAnsi" w:hAnsiTheme="minorHAnsi" w:cstheme="minorBidi"/>
              <w:noProof/>
              <w:szCs w:val="22"/>
              <w:lang w:val="en-AU" w:eastAsia="en-AU"/>
            </w:rPr>
          </w:pPr>
          <w:hyperlink w:anchor="_Toc487183905" w:history="1">
            <w:r w:rsidR="00FA7B5E" w:rsidRPr="00F350EA">
              <w:rPr>
                <w:rStyle w:val="Hyperlink"/>
                <w:noProof/>
              </w:rPr>
              <w:t>Lack of pricing and cost transparency</w:t>
            </w:r>
            <w:r w:rsidR="00FA7B5E">
              <w:rPr>
                <w:noProof/>
                <w:webHidden/>
              </w:rPr>
              <w:tab/>
            </w:r>
            <w:r w:rsidR="00FA7B5E">
              <w:rPr>
                <w:noProof/>
                <w:webHidden/>
              </w:rPr>
              <w:fldChar w:fldCharType="begin"/>
            </w:r>
            <w:r w:rsidR="00FA7B5E">
              <w:rPr>
                <w:noProof/>
                <w:webHidden/>
              </w:rPr>
              <w:instrText xml:space="preserve"> PAGEREF _Toc487183905 \h </w:instrText>
            </w:r>
            <w:r w:rsidR="00FA7B5E">
              <w:rPr>
                <w:noProof/>
                <w:webHidden/>
              </w:rPr>
            </w:r>
            <w:r w:rsidR="00FA7B5E">
              <w:rPr>
                <w:noProof/>
                <w:webHidden/>
              </w:rPr>
              <w:fldChar w:fldCharType="separate"/>
            </w:r>
            <w:r>
              <w:rPr>
                <w:noProof/>
                <w:webHidden/>
              </w:rPr>
              <w:t>13</w:t>
            </w:r>
            <w:r w:rsidR="00FA7B5E">
              <w:rPr>
                <w:noProof/>
                <w:webHidden/>
              </w:rPr>
              <w:fldChar w:fldCharType="end"/>
            </w:r>
          </w:hyperlink>
        </w:p>
        <w:p w14:paraId="57DF4822" w14:textId="77777777" w:rsidR="00FA7B5E" w:rsidRDefault="00952F6F">
          <w:pPr>
            <w:pStyle w:val="TOC1"/>
            <w:tabs>
              <w:tab w:val="right" w:leader="dot" w:pos="9622"/>
            </w:tabs>
            <w:rPr>
              <w:rFonts w:asciiTheme="minorHAnsi" w:hAnsiTheme="minorHAnsi" w:cstheme="minorBidi"/>
              <w:noProof/>
              <w:szCs w:val="22"/>
              <w:lang w:val="en-AU" w:eastAsia="en-AU"/>
            </w:rPr>
          </w:pPr>
          <w:hyperlink w:anchor="_Toc487183906" w:history="1">
            <w:r w:rsidR="00FA7B5E" w:rsidRPr="00F350EA">
              <w:rPr>
                <w:rStyle w:val="Hyperlink"/>
                <w:noProof/>
              </w:rPr>
              <w:t>Confusing, unclear pricing</w:t>
            </w:r>
            <w:r w:rsidR="00FA7B5E">
              <w:rPr>
                <w:noProof/>
                <w:webHidden/>
              </w:rPr>
              <w:tab/>
            </w:r>
            <w:r w:rsidR="00FA7B5E">
              <w:rPr>
                <w:noProof/>
                <w:webHidden/>
              </w:rPr>
              <w:fldChar w:fldCharType="begin"/>
            </w:r>
            <w:r w:rsidR="00FA7B5E">
              <w:rPr>
                <w:noProof/>
                <w:webHidden/>
              </w:rPr>
              <w:instrText xml:space="preserve"> PAGEREF _Toc487183906 \h </w:instrText>
            </w:r>
            <w:r w:rsidR="00FA7B5E">
              <w:rPr>
                <w:noProof/>
                <w:webHidden/>
              </w:rPr>
            </w:r>
            <w:r w:rsidR="00FA7B5E">
              <w:rPr>
                <w:noProof/>
                <w:webHidden/>
              </w:rPr>
              <w:fldChar w:fldCharType="separate"/>
            </w:r>
            <w:r>
              <w:rPr>
                <w:noProof/>
                <w:webHidden/>
              </w:rPr>
              <w:t>14</w:t>
            </w:r>
            <w:r w:rsidR="00FA7B5E">
              <w:rPr>
                <w:noProof/>
                <w:webHidden/>
              </w:rPr>
              <w:fldChar w:fldCharType="end"/>
            </w:r>
          </w:hyperlink>
        </w:p>
        <w:p w14:paraId="2BDF2522" w14:textId="77777777" w:rsidR="00FA7B5E" w:rsidRDefault="00952F6F">
          <w:pPr>
            <w:pStyle w:val="TOC2"/>
            <w:tabs>
              <w:tab w:val="right" w:leader="dot" w:pos="9622"/>
            </w:tabs>
            <w:rPr>
              <w:rFonts w:asciiTheme="minorHAnsi" w:hAnsiTheme="minorHAnsi" w:cstheme="minorBidi"/>
              <w:noProof/>
              <w:szCs w:val="22"/>
              <w:lang w:val="en-AU" w:eastAsia="en-AU"/>
            </w:rPr>
          </w:pPr>
          <w:hyperlink w:anchor="_Toc487183907" w:history="1">
            <w:r w:rsidR="00FA7B5E" w:rsidRPr="00F350EA">
              <w:rPr>
                <w:rStyle w:val="Hyperlink"/>
                <w:noProof/>
              </w:rPr>
              <w:t>Pricing representations in Victoria</w:t>
            </w:r>
            <w:r w:rsidR="00FA7B5E">
              <w:rPr>
                <w:noProof/>
                <w:webHidden/>
              </w:rPr>
              <w:tab/>
            </w:r>
            <w:r w:rsidR="00FA7B5E">
              <w:rPr>
                <w:noProof/>
                <w:webHidden/>
              </w:rPr>
              <w:fldChar w:fldCharType="begin"/>
            </w:r>
            <w:r w:rsidR="00FA7B5E">
              <w:rPr>
                <w:noProof/>
                <w:webHidden/>
              </w:rPr>
              <w:instrText xml:space="preserve"> PAGEREF _Toc487183907 \h </w:instrText>
            </w:r>
            <w:r w:rsidR="00FA7B5E">
              <w:rPr>
                <w:noProof/>
                <w:webHidden/>
              </w:rPr>
            </w:r>
            <w:r w:rsidR="00FA7B5E">
              <w:rPr>
                <w:noProof/>
                <w:webHidden/>
              </w:rPr>
              <w:fldChar w:fldCharType="separate"/>
            </w:r>
            <w:r>
              <w:rPr>
                <w:noProof/>
                <w:webHidden/>
              </w:rPr>
              <w:t>14</w:t>
            </w:r>
            <w:r w:rsidR="00FA7B5E">
              <w:rPr>
                <w:noProof/>
                <w:webHidden/>
              </w:rPr>
              <w:fldChar w:fldCharType="end"/>
            </w:r>
          </w:hyperlink>
        </w:p>
        <w:p w14:paraId="2AA04898" w14:textId="77777777" w:rsidR="00FA7B5E" w:rsidRDefault="00952F6F">
          <w:pPr>
            <w:pStyle w:val="TOC2"/>
            <w:tabs>
              <w:tab w:val="right" w:leader="dot" w:pos="9622"/>
            </w:tabs>
            <w:rPr>
              <w:rFonts w:asciiTheme="minorHAnsi" w:hAnsiTheme="minorHAnsi" w:cstheme="minorBidi"/>
              <w:noProof/>
              <w:szCs w:val="22"/>
              <w:lang w:val="en-AU" w:eastAsia="en-AU"/>
            </w:rPr>
          </w:pPr>
          <w:hyperlink w:anchor="_Toc487183908" w:history="1">
            <w:r w:rsidR="00FA7B5E" w:rsidRPr="00F350EA">
              <w:rPr>
                <w:rStyle w:val="Hyperlink"/>
                <w:noProof/>
              </w:rPr>
              <w:t>Ambiguous ‘benefit periods’ and subsequent pricing</w:t>
            </w:r>
            <w:r w:rsidR="00FA7B5E">
              <w:rPr>
                <w:noProof/>
                <w:webHidden/>
              </w:rPr>
              <w:tab/>
            </w:r>
            <w:r w:rsidR="00FA7B5E">
              <w:rPr>
                <w:noProof/>
                <w:webHidden/>
              </w:rPr>
              <w:fldChar w:fldCharType="begin"/>
            </w:r>
            <w:r w:rsidR="00FA7B5E">
              <w:rPr>
                <w:noProof/>
                <w:webHidden/>
              </w:rPr>
              <w:instrText xml:space="preserve"> PAGEREF _Toc487183908 \h </w:instrText>
            </w:r>
            <w:r w:rsidR="00FA7B5E">
              <w:rPr>
                <w:noProof/>
                <w:webHidden/>
              </w:rPr>
            </w:r>
            <w:r w:rsidR="00FA7B5E">
              <w:rPr>
                <w:noProof/>
                <w:webHidden/>
              </w:rPr>
              <w:fldChar w:fldCharType="separate"/>
            </w:r>
            <w:r>
              <w:rPr>
                <w:noProof/>
                <w:webHidden/>
              </w:rPr>
              <w:t>18</w:t>
            </w:r>
            <w:r w:rsidR="00FA7B5E">
              <w:rPr>
                <w:noProof/>
                <w:webHidden/>
              </w:rPr>
              <w:fldChar w:fldCharType="end"/>
            </w:r>
          </w:hyperlink>
        </w:p>
        <w:p w14:paraId="620DAE62" w14:textId="77777777" w:rsidR="00FA7B5E" w:rsidRDefault="00952F6F">
          <w:pPr>
            <w:pStyle w:val="TOC2"/>
            <w:tabs>
              <w:tab w:val="right" w:leader="dot" w:pos="9622"/>
            </w:tabs>
            <w:rPr>
              <w:rFonts w:asciiTheme="minorHAnsi" w:hAnsiTheme="minorHAnsi" w:cstheme="minorBidi"/>
              <w:noProof/>
              <w:szCs w:val="22"/>
              <w:lang w:val="en-AU" w:eastAsia="en-AU"/>
            </w:rPr>
          </w:pPr>
          <w:hyperlink w:anchor="_Toc487183909" w:history="1">
            <w:r w:rsidR="00FA7B5E" w:rsidRPr="00F350EA">
              <w:rPr>
                <w:rStyle w:val="Hyperlink"/>
                <w:noProof/>
              </w:rPr>
              <w:t>Unclear and potentially uncompetitive fixed charges</w:t>
            </w:r>
            <w:r w:rsidR="00FA7B5E">
              <w:rPr>
                <w:noProof/>
                <w:webHidden/>
              </w:rPr>
              <w:tab/>
            </w:r>
            <w:r w:rsidR="00FA7B5E">
              <w:rPr>
                <w:noProof/>
                <w:webHidden/>
              </w:rPr>
              <w:fldChar w:fldCharType="begin"/>
            </w:r>
            <w:r w:rsidR="00FA7B5E">
              <w:rPr>
                <w:noProof/>
                <w:webHidden/>
              </w:rPr>
              <w:instrText xml:space="preserve"> PAGEREF _Toc487183909 \h </w:instrText>
            </w:r>
            <w:r w:rsidR="00FA7B5E">
              <w:rPr>
                <w:noProof/>
                <w:webHidden/>
              </w:rPr>
            </w:r>
            <w:r w:rsidR="00FA7B5E">
              <w:rPr>
                <w:noProof/>
                <w:webHidden/>
              </w:rPr>
              <w:fldChar w:fldCharType="separate"/>
            </w:r>
            <w:r>
              <w:rPr>
                <w:noProof/>
                <w:webHidden/>
              </w:rPr>
              <w:t>19</w:t>
            </w:r>
            <w:r w:rsidR="00FA7B5E">
              <w:rPr>
                <w:noProof/>
                <w:webHidden/>
              </w:rPr>
              <w:fldChar w:fldCharType="end"/>
            </w:r>
          </w:hyperlink>
        </w:p>
        <w:p w14:paraId="41E7C429" w14:textId="77777777" w:rsidR="00FA7B5E" w:rsidRDefault="00952F6F">
          <w:pPr>
            <w:pStyle w:val="TOC1"/>
            <w:tabs>
              <w:tab w:val="right" w:leader="dot" w:pos="9622"/>
            </w:tabs>
            <w:rPr>
              <w:rFonts w:asciiTheme="minorHAnsi" w:hAnsiTheme="minorHAnsi" w:cstheme="minorBidi"/>
              <w:noProof/>
              <w:szCs w:val="22"/>
              <w:lang w:val="en-AU" w:eastAsia="en-AU"/>
            </w:rPr>
          </w:pPr>
          <w:hyperlink w:anchor="_Toc487183910" w:history="1">
            <w:r w:rsidR="00FA7B5E" w:rsidRPr="00F350EA">
              <w:rPr>
                <w:rStyle w:val="Hyperlink"/>
                <w:noProof/>
              </w:rPr>
              <w:t>Consumer education has its limits</w:t>
            </w:r>
            <w:r w:rsidR="00FA7B5E">
              <w:rPr>
                <w:noProof/>
                <w:webHidden/>
              </w:rPr>
              <w:tab/>
            </w:r>
            <w:r w:rsidR="00FA7B5E">
              <w:rPr>
                <w:noProof/>
                <w:webHidden/>
              </w:rPr>
              <w:fldChar w:fldCharType="begin"/>
            </w:r>
            <w:r w:rsidR="00FA7B5E">
              <w:rPr>
                <w:noProof/>
                <w:webHidden/>
              </w:rPr>
              <w:instrText xml:space="preserve"> PAGEREF _Toc487183910 \h </w:instrText>
            </w:r>
            <w:r w:rsidR="00FA7B5E">
              <w:rPr>
                <w:noProof/>
                <w:webHidden/>
              </w:rPr>
            </w:r>
            <w:r w:rsidR="00FA7B5E">
              <w:rPr>
                <w:noProof/>
                <w:webHidden/>
              </w:rPr>
              <w:fldChar w:fldCharType="separate"/>
            </w:r>
            <w:r>
              <w:rPr>
                <w:noProof/>
                <w:webHidden/>
              </w:rPr>
              <w:t>21</w:t>
            </w:r>
            <w:r w:rsidR="00FA7B5E">
              <w:rPr>
                <w:noProof/>
                <w:webHidden/>
              </w:rPr>
              <w:fldChar w:fldCharType="end"/>
            </w:r>
          </w:hyperlink>
        </w:p>
        <w:p w14:paraId="735D3B93" w14:textId="77777777" w:rsidR="00FA7B5E" w:rsidRDefault="00952F6F">
          <w:pPr>
            <w:pStyle w:val="TOC2"/>
            <w:tabs>
              <w:tab w:val="right" w:leader="dot" w:pos="9622"/>
            </w:tabs>
            <w:rPr>
              <w:rFonts w:asciiTheme="minorHAnsi" w:hAnsiTheme="minorHAnsi" w:cstheme="minorBidi"/>
              <w:noProof/>
              <w:szCs w:val="22"/>
              <w:lang w:val="en-AU" w:eastAsia="en-AU"/>
            </w:rPr>
          </w:pPr>
          <w:hyperlink w:anchor="_Toc487183911" w:history="1">
            <w:r w:rsidR="00FA7B5E" w:rsidRPr="00F350EA">
              <w:rPr>
                <w:rStyle w:val="Hyperlink"/>
                <w:noProof/>
              </w:rPr>
              <w:t>Independent energy broker</w:t>
            </w:r>
            <w:r w:rsidR="00FA7B5E">
              <w:rPr>
                <w:noProof/>
                <w:webHidden/>
              </w:rPr>
              <w:tab/>
            </w:r>
            <w:r w:rsidR="00FA7B5E">
              <w:rPr>
                <w:noProof/>
                <w:webHidden/>
              </w:rPr>
              <w:fldChar w:fldCharType="begin"/>
            </w:r>
            <w:r w:rsidR="00FA7B5E">
              <w:rPr>
                <w:noProof/>
                <w:webHidden/>
              </w:rPr>
              <w:instrText xml:space="preserve"> PAGEREF _Toc487183911 \h </w:instrText>
            </w:r>
            <w:r w:rsidR="00FA7B5E">
              <w:rPr>
                <w:noProof/>
                <w:webHidden/>
              </w:rPr>
            </w:r>
            <w:r w:rsidR="00FA7B5E">
              <w:rPr>
                <w:noProof/>
                <w:webHidden/>
              </w:rPr>
              <w:fldChar w:fldCharType="separate"/>
            </w:r>
            <w:r>
              <w:rPr>
                <w:noProof/>
                <w:webHidden/>
              </w:rPr>
              <w:t>22</w:t>
            </w:r>
            <w:r w:rsidR="00FA7B5E">
              <w:rPr>
                <w:noProof/>
                <w:webHidden/>
              </w:rPr>
              <w:fldChar w:fldCharType="end"/>
            </w:r>
          </w:hyperlink>
        </w:p>
        <w:p w14:paraId="2807C623" w14:textId="77777777" w:rsidR="00BF4B30" w:rsidRDefault="00BF4B30">
          <w:r>
            <w:rPr>
              <w:b/>
              <w:bCs/>
              <w:noProof/>
            </w:rPr>
            <w:fldChar w:fldCharType="end"/>
          </w:r>
        </w:p>
      </w:sdtContent>
    </w:sdt>
    <w:p w14:paraId="4D4900EF" w14:textId="77777777" w:rsidR="002D294A" w:rsidRDefault="002D294A" w:rsidP="00CE5762">
      <w:pPr>
        <w:rPr>
          <w:color w:val="D84920"/>
          <w:sz w:val="50"/>
          <w:szCs w:val="50"/>
        </w:rPr>
      </w:pPr>
      <w:r>
        <w:br w:type="page"/>
      </w:r>
    </w:p>
    <w:p w14:paraId="079BACE6" w14:textId="77777777" w:rsidR="00DB56DE" w:rsidRDefault="00DB56DE" w:rsidP="00DB56DE">
      <w:pPr>
        <w:pStyle w:val="Heading1"/>
      </w:pPr>
      <w:bookmarkStart w:id="1" w:name="_Toc487183896"/>
      <w:r>
        <w:lastRenderedPageBreak/>
        <w:t>Glossary</w:t>
      </w:r>
      <w:bookmarkEnd w:id="1"/>
      <w:r>
        <w:t xml:space="preserve"> </w:t>
      </w:r>
    </w:p>
    <w:p w14:paraId="115C6350" w14:textId="4E62F66E" w:rsidR="00DB56DE" w:rsidRDefault="00DB56DE">
      <w:pPr>
        <w:spacing w:before="200"/>
      </w:pPr>
      <w:r>
        <w:t xml:space="preserve">This glossary has been prepared for </w:t>
      </w:r>
      <w:r w:rsidR="00062374">
        <w:t>readers</w:t>
      </w:r>
      <w:r>
        <w:t xml:space="preserve"> who are not familiar with some of the terms used in the energy market.</w:t>
      </w:r>
    </w:p>
    <w:p w14:paraId="12CDE720" w14:textId="77777777" w:rsidR="00DB56DE" w:rsidRDefault="00DB56DE" w:rsidP="00DB56DE"/>
    <w:p w14:paraId="76CB3E8D" w14:textId="4B48D5F7" w:rsidR="00276B85" w:rsidRPr="00276B85" w:rsidRDefault="00276B85" w:rsidP="00276B85">
      <w:pPr>
        <w:ind w:left="2880" w:hanging="2880"/>
      </w:pPr>
      <w:r>
        <w:rPr>
          <w:b/>
        </w:rPr>
        <w:t>Consumption charge</w:t>
      </w:r>
      <w:r>
        <w:rPr>
          <w:b/>
        </w:rPr>
        <w:tab/>
      </w:r>
      <w:proofErr w:type="gramStart"/>
      <w:r>
        <w:t>The</w:t>
      </w:r>
      <w:proofErr w:type="gramEnd"/>
      <w:r>
        <w:t xml:space="preserve"> amount paid for eac</w:t>
      </w:r>
      <w:r w:rsidR="006C38F7">
        <w:t>h unit of electricity or g</w:t>
      </w:r>
      <w:r w:rsidR="00BF6C7D">
        <w:t>as used.</w:t>
      </w:r>
      <w:r>
        <w:t xml:space="preserve"> Otherwise known as the ‘variable charge’</w:t>
      </w:r>
      <w:r w:rsidR="000A6FCD">
        <w:t xml:space="preserve"> or the ‘usage charge’</w:t>
      </w:r>
      <w:r>
        <w:t xml:space="preserve">. </w:t>
      </w:r>
    </w:p>
    <w:p w14:paraId="132E0F54" w14:textId="01799CE4" w:rsidR="00276B85" w:rsidRDefault="00276B85" w:rsidP="00276B85">
      <w:pPr>
        <w:ind w:left="2880" w:hanging="2880"/>
        <w:rPr>
          <w:b/>
        </w:rPr>
      </w:pPr>
      <w:r>
        <w:rPr>
          <w:b/>
        </w:rPr>
        <w:t>Discount offer</w:t>
      </w:r>
      <w:r>
        <w:rPr>
          <w:b/>
        </w:rPr>
        <w:tab/>
      </w:r>
      <w:proofErr w:type="gramStart"/>
      <w:r>
        <w:t>An</w:t>
      </w:r>
      <w:proofErr w:type="gramEnd"/>
      <w:r>
        <w:t xml:space="preserve"> energy offer that includes a discount. In Victoria, the discount is usually conditional on certain types of behavior, such as paying the bill on time, or paying b</w:t>
      </w:r>
      <w:r w:rsidR="00F51277">
        <w:t>y direct debit or online. F</w:t>
      </w:r>
      <w:r>
        <w:t>ew retailers offer non-conditional discounts.</w:t>
      </w:r>
    </w:p>
    <w:p w14:paraId="2B51C910" w14:textId="46081502" w:rsidR="00276B85" w:rsidRPr="00276B85" w:rsidRDefault="00276B85" w:rsidP="00276B85">
      <w:pPr>
        <w:ind w:left="2880" w:hanging="2880"/>
      </w:pPr>
      <w:r>
        <w:rPr>
          <w:b/>
        </w:rPr>
        <w:t>Fixed charge</w:t>
      </w:r>
      <w:r>
        <w:rPr>
          <w:b/>
        </w:rPr>
        <w:tab/>
      </w:r>
      <w:proofErr w:type="gramStart"/>
      <w:r>
        <w:t>The</w:t>
      </w:r>
      <w:proofErr w:type="gramEnd"/>
      <w:r>
        <w:t xml:space="preserve"> amount paid for the fixed costs of supplying energy, such as network costs.</w:t>
      </w:r>
      <w:r>
        <w:rPr>
          <w:b/>
        </w:rPr>
        <w:t xml:space="preserve"> </w:t>
      </w:r>
      <w:r>
        <w:t>The fixed charge is the same regardless of how much energy you use. Fixed charges are often described as only covering network c</w:t>
      </w:r>
      <w:r w:rsidR="00F51277">
        <w:t>osts, but in Victoria they can</w:t>
      </w:r>
      <w:r>
        <w:t xml:space="preserve"> include retail costs. Otherwise known as the ‘daily supply charge’ or the ‘service to property’ charge. </w:t>
      </w:r>
    </w:p>
    <w:p w14:paraId="56278C4C" w14:textId="330F5B06" w:rsidR="00276B85" w:rsidRDefault="00276B85" w:rsidP="00276B85">
      <w:pPr>
        <w:ind w:left="2880" w:hanging="2880"/>
      </w:pPr>
      <w:r w:rsidRPr="00DB56DE">
        <w:rPr>
          <w:b/>
        </w:rPr>
        <w:t>Market offer</w:t>
      </w:r>
      <w:r>
        <w:tab/>
      </w:r>
      <w:proofErr w:type="gramStart"/>
      <w:r>
        <w:t>The</w:t>
      </w:r>
      <w:proofErr w:type="gramEnd"/>
      <w:r>
        <w:t xml:space="preserve"> main type of energy offer in Victoria. Market offers are set by retailers and can change during the contract period.</w:t>
      </w:r>
    </w:p>
    <w:p w14:paraId="12EA2E93" w14:textId="606D59F5" w:rsidR="00DB56DE" w:rsidRDefault="00276B85" w:rsidP="00276B85">
      <w:pPr>
        <w:ind w:left="2880" w:hanging="2880"/>
      </w:pPr>
      <w:r>
        <w:rPr>
          <w:b/>
        </w:rPr>
        <w:t>S</w:t>
      </w:r>
      <w:r w:rsidR="00DB56DE" w:rsidRPr="00DB56DE">
        <w:rPr>
          <w:b/>
        </w:rPr>
        <w:t>tanding offer</w:t>
      </w:r>
      <w:r w:rsidR="00DB56DE">
        <w:tab/>
      </w:r>
      <w:proofErr w:type="gramStart"/>
      <w:r w:rsidR="00DB56DE">
        <w:t>The</w:t>
      </w:r>
      <w:proofErr w:type="gramEnd"/>
      <w:r w:rsidR="00DB56DE">
        <w:t xml:space="preserve"> ‘default’ energy offer </w:t>
      </w:r>
      <w:r w:rsidR="00BF6C7D">
        <w:t>provided</w:t>
      </w:r>
      <w:r w:rsidR="00DB56DE">
        <w:t xml:space="preserve"> to people who do not sign-up to market offers. Each Victorian retailer </w:t>
      </w:r>
      <w:r>
        <w:t>sets its own standing offer</w:t>
      </w:r>
      <w:r w:rsidR="00DB56DE">
        <w:t xml:space="preserve">. They are not regulated by the Victorian government. Standing offers are generally more expensive than market offers. </w:t>
      </w:r>
    </w:p>
    <w:p w14:paraId="6FC5EEEA" w14:textId="2A4AD084" w:rsidR="00DB56DE" w:rsidRDefault="00DB56DE" w:rsidP="00DB56DE">
      <w:pPr>
        <w:ind w:left="2160" w:hanging="2160"/>
      </w:pPr>
      <w:r>
        <w:br w:type="page"/>
      </w:r>
    </w:p>
    <w:p w14:paraId="1FD1A54B" w14:textId="4824AAA0" w:rsidR="007538BC" w:rsidRDefault="00A63EA5" w:rsidP="007538BC">
      <w:pPr>
        <w:pStyle w:val="Heading1"/>
        <w:rPr>
          <w:lang w:val="en-AU"/>
        </w:rPr>
      </w:pPr>
      <w:bookmarkStart w:id="2" w:name="_Toc487183897"/>
      <w:r>
        <w:rPr>
          <w:lang w:val="en-AU"/>
        </w:rPr>
        <w:lastRenderedPageBreak/>
        <w:t>High electricity prices harm people on low incomes</w:t>
      </w:r>
      <w:bookmarkEnd w:id="2"/>
    </w:p>
    <w:p w14:paraId="0667742D" w14:textId="3A419365" w:rsidR="00B51FD8" w:rsidRDefault="009C3893" w:rsidP="009574BA">
      <w:r>
        <w:t>The Victorian Council of Social Service (VCOSS) welcomes the opportunity to contribute to the ACCC’s inquiry into retail electricity supply and pricing. V</w:t>
      </w:r>
      <w:r w:rsidR="00B51FD8">
        <w:t>COSS has long a</w:t>
      </w:r>
      <w:r w:rsidR="00FF7881">
        <w:t xml:space="preserve">dvocated for affordable </w:t>
      </w:r>
      <w:r w:rsidR="00B51FD8">
        <w:t>energy supply f</w:t>
      </w:r>
      <w:r w:rsidR="00FF7881">
        <w:t>or people on low i</w:t>
      </w:r>
      <w:r w:rsidR="00A63EA5">
        <w:t>ncomes, including</w:t>
      </w:r>
      <w:r w:rsidR="009363C6">
        <w:t xml:space="preserve"> people whose health and wellbeing can be compromised without adequate ene</w:t>
      </w:r>
      <w:r w:rsidR="003D443D">
        <w:t>rgy use</w:t>
      </w:r>
      <w:r w:rsidR="009363C6">
        <w:t>, such as:</w:t>
      </w:r>
      <w:r w:rsidR="00FF7881">
        <w:t xml:space="preserve">  </w:t>
      </w:r>
      <w:r w:rsidR="00B51FD8">
        <w:t xml:space="preserve"> </w:t>
      </w:r>
    </w:p>
    <w:p w14:paraId="0733D8AC" w14:textId="69D4B0F8" w:rsidR="00B51FD8" w:rsidRDefault="00B51FD8" w:rsidP="00476907">
      <w:pPr>
        <w:pStyle w:val="ListParagraph"/>
        <w:numPr>
          <w:ilvl w:val="0"/>
          <w:numId w:val="12"/>
        </w:numPr>
      </w:pPr>
      <w:r>
        <w:t>familie</w:t>
      </w:r>
      <w:r w:rsidR="009363C6">
        <w:t>s with children</w:t>
      </w:r>
    </w:p>
    <w:p w14:paraId="77B6C085" w14:textId="77777777" w:rsidR="00A63EA5" w:rsidRDefault="00B51FD8" w:rsidP="00476907">
      <w:pPr>
        <w:pStyle w:val="ListParagraph"/>
        <w:numPr>
          <w:ilvl w:val="0"/>
          <w:numId w:val="12"/>
        </w:numPr>
      </w:pPr>
      <w:r>
        <w:t>older people</w:t>
      </w:r>
    </w:p>
    <w:p w14:paraId="79A5D847" w14:textId="636E4D56" w:rsidR="00B51FD8" w:rsidRDefault="009363C6" w:rsidP="00476907">
      <w:pPr>
        <w:pStyle w:val="ListParagraph"/>
        <w:numPr>
          <w:ilvl w:val="0"/>
          <w:numId w:val="12"/>
        </w:numPr>
      </w:pPr>
      <w:r>
        <w:t>people</w:t>
      </w:r>
      <w:r w:rsidR="00B51FD8">
        <w:t xml:space="preserve"> reliant on poor-quality, energy ineffi</w:t>
      </w:r>
      <w:r w:rsidR="00A63EA5">
        <w:t>cient rental housing</w:t>
      </w:r>
    </w:p>
    <w:p w14:paraId="363D8699" w14:textId="77777777" w:rsidR="00B51FD8" w:rsidRDefault="00B51FD8" w:rsidP="00476907">
      <w:pPr>
        <w:pStyle w:val="ListParagraph"/>
        <w:numPr>
          <w:ilvl w:val="0"/>
          <w:numId w:val="12"/>
        </w:numPr>
      </w:pPr>
      <w:r>
        <w:t>people with medical cooling needs</w:t>
      </w:r>
    </w:p>
    <w:p w14:paraId="6C682D74" w14:textId="03CD1EAE" w:rsidR="009C3893" w:rsidRDefault="00B51FD8" w:rsidP="00476907">
      <w:pPr>
        <w:pStyle w:val="ListParagraph"/>
        <w:numPr>
          <w:ilvl w:val="0"/>
          <w:numId w:val="12"/>
        </w:numPr>
      </w:pPr>
      <w:proofErr w:type="gramStart"/>
      <w:r>
        <w:t>people</w:t>
      </w:r>
      <w:proofErr w:type="gramEnd"/>
      <w:r>
        <w:t xml:space="preserve"> with disability </w:t>
      </w:r>
      <w:r w:rsidR="009363C6">
        <w:t>who need affordable, reliable energy supply to charge mobility and communication aids and perform other essential tasks.</w:t>
      </w:r>
    </w:p>
    <w:p w14:paraId="1999D8B3" w14:textId="18832E03" w:rsidR="00A63EA5" w:rsidRDefault="00475D00" w:rsidP="00A97901">
      <w:r>
        <w:t>VCOSS represents over 300 community sector members, including large charities, peak organisations, small com</w:t>
      </w:r>
      <w:r w:rsidR="00E11A9D">
        <w:t>munity services, and advocacy groups</w:t>
      </w:r>
      <w:r>
        <w:t>, who provide a wide range of support to people experie</w:t>
      </w:r>
      <w:r w:rsidR="007A5668">
        <w:t xml:space="preserve">ncing poverty and disadvantage. </w:t>
      </w:r>
    </w:p>
    <w:p w14:paraId="00E4C494" w14:textId="716656AD" w:rsidR="00A97901" w:rsidRDefault="00A63EA5" w:rsidP="00A97901">
      <w:r>
        <w:t>VCOSS m</w:t>
      </w:r>
      <w:r w:rsidR="007A5668">
        <w:t>ember</w:t>
      </w:r>
      <w:r>
        <w:t>s</w:t>
      </w:r>
      <w:r w:rsidR="007A5668">
        <w:t xml:space="preserve"> </w:t>
      </w:r>
      <w:r>
        <w:t xml:space="preserve">tell us </w:t>
      </w:r>
      <w:r w:rsidR="00475D00">
        <w:t>people are being pushed to the edge by electricity price rises</w:t>
      </w:r>
      <w:r w:rsidR="00B51FD8">
        <w:t>.</w:t>
      </w:r>
      <w:r w:rsidR="00D771E7">
        <w:t xml:space="preserve"> Victo</w:t>
      </w:r>
      <w:r w:rsidR="003D443D">
        <w:t xml:space="preserve">rian electricity prices are </w:t>
      </w:r>
      <w:r w:rsidR="00D771E7">
        <w:t>now the second highest in Australia, following South Australia.</w:t>
      </w:r>
      <w:r w:rsidR="00D771E7">
        <w:rPr>
          <w:rStyle w:val="FootnoteReference"/>
        </w:rPr>
        <w:footnoteReference w:id="1"/>
      </w:r>
      <w:r w:rsidR="00D771E7">
        <w:t xml:space="preserve"> </w:t>
      </w:r>
      <w:r w:rsidR="00B51FD8">
        <w:t>B</w:t>
      </w:r>
      <w:r w:rsidR="00B51FD8" w:rsidRPr="00276268">
        <w:t xml:space="preserve">etween 2006 and 2016, Victorian electricity prices increased by 119 per cent, or an average of 12 per cent </w:t>
      </w:r>
      <w:r>
        <w:t>a</w:t>
      </w:r>
      <w:r w:rsidR="00B51FD8">
        <w:t xml:space="preserve"> </w:t>
      </w:r>
      <w:r w:rsidR="00B51FD8" w:rsidRPr="00276268">
        <w:t>year</w:t>
      </w:r>
      <w:r w:rsidR="00B51FD8">
        <w:t>,</w:t>
      </w:r>
      <w:r w:rsidR="00B51FD8" w:rsidRPr="00276268">
        <w:rPr>
          <w:rStyle w:val="FootnoteReference"/>
        </w:rPr>
        <w:footnoteReference w:id="2"/>
      </w:r>
      <w:r w:rsidR="00E11A9D">
        <w:t xml:space="preserve"> far in excess of general inflation</w:t>
      </w:r>
      <w:r w:rsidR="00475D00">
        <w:t>. Price increases have vastly outpaced record low wages growth and inadequate income support payments.</w:t>
      </w:r>
      <w:r w:rsidR="00475D00">
        <w:rPr>
          <w:rStyle w:val="FootnoteReference"/>
        </w:rPr>
        <w:footnoteReference w:id="3"/>
      </w:r>
      <w:r w:rsidR="00475D00">
        <w:t xml:space="preserve"> </w:t>
      </w:r>
      <w:r>
        <w:t>This occurs in a context where c</w:t>
      </w:r>
      <w:r w:rsidR="00475D00">
        <w:t>onstrained incomes are being further depleted by very high housing costs.</w:t>
      </w:r>
      <w:r w:rsidR="00475D00">
        <w:rPr>
          <w:rStyle w:val="FootnoteReference"/>
        </w:rPr>
        <w:footnoteReference w:id="4"/>
      </w:r>
      <w:r w:rsidR="00A97901">
        <w:t xml:space="preserve"> </w:t>
      </w:r>
    </w:p>
    <w:p w14:paraId="6A455613" w14:textId="7BBD4262" w:rsidR="009363C6" w:rsidRDefault="00A63EA5" w:rsidP="007A5668">
      <w:r>
        <w:t>Faced with these pressures, people find it</w:t>
      </w:r>
      <w:r w:rsidR="00475D00">
        <w:t xml:space="preserve"> increasingly difficult to make bill payments.</w:t>
      </w:r>
      <w:r w:rsidR="009363C6">
        <w:t xml:space="preserve"> A forthcoming VCOSS report shows people are making trade-offs on food and other essentials, and sometimes experiencin</w:t>
      </w:r>
      <w:r>
        <w:t>g great psychological</w:t>
      </w:r>
      <w:r w:rsidR="009363C6">
        <w:t xml:space="preserve"> stress, in order to stay connected</w:t>
      </w:r>
      <w:r w:rsidR="002D0F7B">
        <w:t xml:space="preserve"> to energy supply</w:t>
      </w:r>
      <w:r w:rsidR="009363C6">
        <w:t>.</w:t>
      </w:r>
      <w:r w:rsidR="009363C6">
        <w:rPr>
          <w:rStyle w:val="FootnoteReference"/>
        </w:rPr>
        <w:footnoteReference w:id="5"/>
      </w:r>
      <w:r w:rsidR="00A97901">
        <w:t xml:space="preserve"> </w:t>
      </w:r>
      <w:r w:rsidR="009363C6">
        <w:lastRenderedPageBreak/>
        <w:t>Recent</w:t>
      </w:r>
      <w:r w:rsidR="00952B96">
        <w:t xml:space="preserve"> research by the New South Wales</w:t>
      </w:r>
      <w:r w:rsidR="009363C6">
        <w:t xml:space="preserve"> Council of Social Service shows people are making similar sacrifices in that state.</w:t>
      </w:r>
      <w:r w:rsidR="00952B96">
        <w:rPr>
          <w:rStyle w:val="FootnoteReference"/>
        </w:rPr>
        <w:footnoteReference w:id="6"/>
      </w:r>
      <w:r w:rsidR="009363C6">
        <w:t xml:space="preserve"> </w:t>
      </w:r>
    </w:p>
    <w:p w14:paraId="7E319D1B" w14:textId="61D8D697" w:rsidR="007A5668" w:rsidRDefault="00952B96" w:rsidP="007A5668">
      <w:r>
        <w:t>E</w:t>
      </w:r>
      <w:r w:rsidR="009363C6">
        <w:t>lectricity bills are one of the most common reasons for seeking emergency relief.</w:t>
      </w:r>
      <w:r w:rsidR="009363C6">
        <w:rPr>
          <w:rStyle w:val="FootnoteReference"/>
        </w:rPr>
        <w:footnoteReference w:id="7"/>
      </w:r>
      <w:r w:rsidR="002D0F7B">
        <w:t xml:space="preserve"> </w:t>
      </w:r>
      <w:r w:rsidR="007A5668">
        <w:t>Victoria has high disconnection rates relative to other jurisdictions.</w:t>
      </w:r>
      <w:r w:rsidR="007A5668">
        <w:rPr>
          <w:rStyle w:val="FootnoteReference"/>
        </w:rPr>
        <w:footnoteReference w:id="8"/>
      </w:r>
      <w:r w:rsidR="007A5668">
        <w:t xml:space="preserve"> After declining during the 2015-16 financial year, disconnections </w:t>
      </w:r>
      <w:r w:rsidR="003D443D">
        <w:t>have started to increase</w:t>
      </w:r>
      <w:r w:rsidR="007A5668">
        <w:t>.</w:t>
      </w:r>
      <w:r w:rsidR="007A5668">
        <w:rPr>
          <w:rStyle w:val="FootnoteReference"/>
        </w:rPr>
        <w:footnoteReference w:id="9"/>
      </w:r>
    </w:p>
    <w:p w14:paraId="37CAE325" w14:textId="2EFD91A7" w:rsidR="00B51FD8" w:rsidRDefault="007A5668" w:rsidP="009574BA">
      <w:r>
        <w:t>VCOSS considers e</w:t>
      </w:r>
      <w:r w:rsidR="005F4B15">
        <w:t>lectricity can be made more affordab</w:t>
      </w:r>
      <w:r w:rsidR="00E11A9D">
        <w:t>le for people on low incomes</w:t>
      </w:r>
      <w:r w:rsidR="005F4B15">
        <w:t xml:space="preserve"> through retail electricity market reforms.</w:t>
      </w:r>
      <w:r>
        <w:t xml:space="preserve"> Separately to the ACCC inquiry, VCOSS made a submission to the Victorian Retail Energy Markets Review. </w:t>
      </w:r>
      <w:r w:rsidR="001B0CA7">
        <w:t>While t</w:t>
      </w:r>
      <w:r>
        <w:t>here are similar recommendations in each submission</w:t>
      </w:r>
      <w:r w:rsidR="001B0CA7">
        <w:t>, we acknowledge the ACCC inquiry</w:t>
      </w:r>
      <w:r w:rsidR="00952B96">
        <w:t xml:space="preserve"> has greater capacity to investigate</w:t>
      </w:r>
      <w:r w:rsidR="001B0CA7">
        <w:t xml:space="preserve"> electricity price changes through use of its compulsory information-gathering powers.</w:t>
      </w:r>
    </w:p>
    <w:p w14:paraId="249E2837" w14:textId="044DF48B" w:rsidR="008B1CF1" w:rsidRDefault="005F4B15" w:rsidP="009574BA">
      <w:r>
        <w:t>Victoria was the first ju</w:t>
      </w:r>
      <w:r w:rsidR="007A5668">
        <w:t>risdiction to fully deregulate</w:t>
      </w:r>
      <w:r w:rsidR="002D0F7B">
        <w:t xml:space="preserve"> </w:t>
      </w:r>
      <w:r w:rsidR="00D77C06">
        <w:t>electricity retailing</w:t>
      </w:r>
      <w:r w:rsidR="007A5668">
        <w:t>. Based on</w:t>
      </w:r>
      <w:r w:rsidR="000E4D74">
        <w:t xml:space="preserve"> the available data, the causes</w:t>
      </w:r>
      <w:r w:rsidR="007A5668">
        <w:t xml:space="preserve"> of Victorian retail price increases are somewhat different to other states and territories. In particular, Victorian electricity bills have high</w:t>
      </w:r>
      <w:r w:rsidR="00012C12">
        <w:t>er</w:t>
      </w:r>
      <w:r w:rsidR="007A5668">
        <w:t xml:space="preserve"> retail cost components </w:t>
      </w:r>
      <w:r w:rsidR="00012C12">
        <w:t>than other</w:t>
      </w:r>
      <w:r w:rsidR="007A5668">
        <w:t xml:space="preserve"> jurisdictions</w:t>
      </w:r>
      <w:r w:rsidR="00FF7881">
        <w:t>, and network costs appear to have played</w:t>
      </w:r>
      <w:r w:rsidR="00012C12">
        <w:t xml:space="preserve"> less of a role in price increases over the past decade</w:t>
      </w:r>
      <w:r w:rsidR="007A5668">
        <w:t xml:space="preserve">. We therefore ask the ACCC to enquire into </w:t>
      </w:r>
      <w:r w:rsidR="000E3CDD">
        <w:t xml:space="preserve">jurisdictional differences as far as possible. </w:t>
      </w:r>
    </w:p>
    <w:p w14:paraId="69D1DD69" w14:textId="62798299" w:rsidR="005F4B15" w:rsidRDefault="00D77C06" w:rsidP="009574BA">
      <w:r>
        <w:t>We also seek analysis of how price rises and the cost components of retail prices particularly affect low income households, including environmental scheme costs associated with RETs and solar feed-in tariffs, and other government policy costs.</w:t>
      </w:r>
    </w:p>
    <w:p w14:paraId="79C14B64" w14:textId="77777777" w:rsidR="001B0CA7" w:rsidRDefault="001B0CA7" w:rsidP="009574BA">
      <w:r>
        <w:t>VCOSS considers electricity can be made more affordable through:</w:t>
      </w:r>
    </w:p>
    <w:p w14:paraId="6098B48E" w14:textId="317CC764" w:rsidR="001B0CA7" w:rsidRDefault="00A97901" w:rsidP="00476907">
      <w:pPr>
        <w:pStyle w:val="ListParagraph"/>
        <w:numPr>
          <w:ilvl w:val="0"/>
          <w:numId w:val="13"/>
        </w:numPr>
      </w:pPr>
      <w:r>
        <w:t>m</w:t>
      </w:r>
      <w:r w:rsidR="001B0CA7">
        <w:t>ore extensive, consistent data collection requirements in relation to the cost components of retail electricity pricing</w:t>
      </w:r>
      <w:r>
        <w:t xml:space="preserve"> and</w:t>
      </w:r>
      <w:r w:rsidR="001B0CA7">
        <w:t xml:space="preserve"> t</w:t>
      </w:r>
      <w:r w:rsidR="000E4D74">
        <w:t>he causes</w:t>
      </w:r>
      <w:r w:rsidR="001B0CA7">
        <w:t xml:space="preserve"> of price changes, </w:t>
      </w:r>
      <w:r>
        <w:t xml:space="preserve">which can inform </w:t>
      </w:r>
      <w:r w:rsidR="001B0CA7">
        <w:t>policy development to put downward pressure on prices</w:t>
      </w:r>
    </w:p>
    <w:p w14:paraId="12202082" w14:textId="43163701" w:rsidR="001B0CA7" w:rsidRDefault="00A97901" w:rsidP="00476907">
      <w:pPr>
        <w:pStyle w:val="ListParagraph"/>
        <w:numPr>
          <w:ilvl w:val="0"/>
          <w:numId w:val="13"/>
        </w:numPr>
      </w:pPr>
      <w:proofErr w:type="gramStart"/>
      <w:r>
        <w:t>transparent</w:t>
      </w:r>
      <w:proofErr w:type="gramEnd"/>
      <w:r>
        <w:t xml:space="preserve"> electricity pricing—current pricing is confusing and hinders competition. The use of comparison rates for electricity pricing could help people better compare electricity offers and improve competition</w:t>
      </w:r>
    </w:p>
    <w:p w14:paraId="1BBA65AE" w14:textId="7A4C9AE0" w:rsidR="00A97901" w:rsidRDefault="00A97901" w:rsidP="00476907">
      <w:pPr>
        <w:pStyle w:val="ListParagraph"/>
        <w:numPr>
          <w:ilvl w:val="0"/>
          <w:numId w:val="13"/>
        </w:numPr>
      </w:pPr>
      <w:r>
        <w:t>potential regulatory action in relation to the use of ambiguous, confusing ‘benefit periods’, which can result in people lapsing onto relatively expensive electricity deals</w:t>
      </w:r>
    </w:p>
    <w:p w14:paraId="7E40B693" w14:textId="020F6B90" w:rsidR="00A97901" w:rsidRDefault="00A97901" w:rsidP="00476907">
      <w:pPr>
        <w:pStyle w:val="ListParagraph"/>
        <w:numPr>
          <w:ilvl w:val="0"/>
          <w:numId w:val="13"/>
        </w:numPr>
      </w:pPr>
      <w:r>
        <w:t>reform of fixed charges, to encourage competi</w:t>
      </w:r>
      <w:r w:rsidR="00012C12">
        <w:t>tion around total retail costs—</w:t>
      </w:r>
      <w:r>
        <w:t xml:space="preserve">currently, some retail costs are hidden in the fixed charge and </w:t>
      </w:r>
      <w:r w:rsidR="008B1CF1">
        <w:t xml:space="preserve">are </w:t>
      </w:r>
      <w:r>
        <w:t>arg</w:t>
      </w:r>
      <w:r w:rsidR="00012C12">
        <w:t>uably shielded from competition</w:t>
      </w:r>
    </w:p>
    <w:p w14:paraId="436AF66F" w14:textId="77777777" w:rsidR="00476907" w:rsidRDefault="00A97901" w:rsidP="00476907">
      <w:pPr>
        <w:pStyle w:val="ListParagraph"/>
        <w:numPr>
          <w:ilvl w:val="0"/>
          <w:numId w:val="13"/>
        </w:numPr>
        <w:spacing w:before="200"/>
      </w:pPr>
      <w:proofErr w:type="gramStart"/>
      <w:r>
        <w:t>introducing</w:t>
      </w:r>
      <w:proofErr w:type="gramEnd"/>
      <w:r>
        <w:t xml:space="preserve"> an independent energy broker to help people find a more affordable energy deal.</w:t>
      </w:r>
    </w:p>
    <w:p w14:paraId="6AEC9F18" w14:textId="77777777" w:rsidR="00FA7B5E" w:rsidRDefault="00930888" w:rsidP="00FA7B5E">
      <w:pPr>
        <w:pStyle w:val="Heading1"/>
      </w:pPr>
      <w:r>
        <w:br w:type="page"/>
      </w:r>
      <w:bookmarkStart w:id="3" w:name="_Toc487183898"/>
      <w:r w:rsidR="00FA7B5E">
        <w:t>Recommendations</w:t>
      </w:r>
      <w:bookmarkEnd w:id="3"/>
    </w:p>
    <w:p w14:paraId="12A03C4E" w14:textId="77777777" w:rsidR="00FA7B5E" w:rsidRDefault="00FA7B5E" w:rsidP="00FA7B5E">
      <w:pPr>
        <w:rPr>
          <w:b/>
          <w:color w:val="E36C0A" w:themeColor="accent6" w:themeShade="BF"/>
          <w:sz w:val="32"/>
          <w:szCs w:val="32"/>
        </w:rPr>
      </w:pPr>
      <w:r>
        <w:rPr>
          <w:b/>
          <w:color w:val="E36C0A" w:themeColor="accent6" w:themeShade="BF"/>
          <w:sz w:val="32"/>
          <w:szCs w:val="32"/>
        </w:rPr>
        <w:t>Causes of price increases</w:t>
      </w:r>
    </w:p>
    <w:p w14:paraId="2836350F" w14:textId="77777777" w:rsidR="00FA7B5E" w:rsidRDefault="00FA7B5E" w:rsidP="00FA7B5E">
      <w:pPr>
        <w:pStyle w:val="ListParagraph"/>
        <w:numPr>
          <w:ilvl w:val="0"/>
          <w:numId w:val="14"/>
        </w:numPr>
      </w:pPr>
      <w:proofErr w:type="spellStart"/>
      <w:r>
        <w:t>Analyse</w:t>
      </w:r>
      <w:proofErr w:type="spellEnd"/>
      <w:r>
        <w:t xml:space="preserve"> wholesale cost drivers, including the effects of the transition to lower-emission generation sources, and the impact of wholesale costs on retail prices.</w:t>
      </w:r>
    </w:p>
    <w:p w14:paraId="429E472F" w14:textId="77777777" w:rsidR="00FA7B5E" w:rsidRPr="008C747C" w:rsidRDefault="00FA7B5E" w:rsidP="00FA7B5E">
      <w:pPr>
        <w:pStyle w:val="ListParagraph"/>
        <w:numPr>
          <w:ilvl w:val="0"/>
          <w:numId w:val="14"/>
        </w:numPr>
      </w:pPr>
      <w:proofErr w:type="spellStart"/>
      <w:r>
        <w:t>Analyse</w:t>
      </w:r>
      <w:proofErr w:type="spellEnd"/>
      <w:r>
        <w:t xml:space="preserve"> the impact of environmental scheme and other government policy costs on low income households, and any likely changes to environmental scheme costs arising from the transition to a lower-emissions electricity market, including any increase in solar feed-in tariff costs as more households install distributed energy arrangements.</w:t>
      </w:r>
    </w:p>
    <w:p w14:paraId="4D1D9B88" w14:textId="77777777" w:rsidR="00FA7B5E" w:rsidRPr="007967F5" w:rsidRDefault="00FA7B5E" w:rsidP="00FA7B5E">
      <w:pPr>
        <w:pStyle w:val="ListParagraph"/>
        <w:numPr>
          <w:ilvl w:val="0"/>
          <w:numId w:val="14"/>
        </w:numPr>
      </w:pPr>
      <w:r>
        <w:t>Examine the reasons for Victoria’s high retail costs, and whether low income households are disproportionately funding those costs via standing and non-discount market offers.</w:t>
      </w:r>
    </w:p>
    <w:p w14:paraId="03E498DC" w14:textId="77777777" w:rsidR="00FA7B5E" w:rsidRPr="00476907" w:rsidRDefault="00FA7B5E" w:rsidP="00FA7B5E">
      <w:pPr>
        <w:pStyle w:val="ListParagraph"/>
        <w:numPr>
          <w:ilvl w:val="0"/>
          <w:numId w:val="14"/>
        </w:numPr>
      </w:pPr>
      <w:r>
        <w:t>Establish data collection requirements in relation to the cost components of retail electricity pricing, the causes of price changes, and customer outcomes in retail electricity markets on an ongoing basis.</w:t>
      </w:r>
    </w:p>
    <w:p w14:paraId="73C8EB56" w14:textId="77777777" w:rsidR="00FA7B5E" w:rsidRDefault="00FA7B5E" w:rsidP="00FA7B5E">
      <w:pPr>
        <w:rPr>
          <w:b/>
          <w:color w:val="E36C0A" w:themeColor="accent6" w:themeShade="BF"/>
          <w:sz w:val="32"/>
          <w:szCs w:val="32"/>
        </w:rPr>
      </w:pPr>
      <w:r>
        <w:rPr>
          <w:b/>
          <w:color w:val="E36C0A" w:themeColor="accent6" w:themeShade="BF"/>
          <w:sz w:val="32"/>
          <w:szCs w:val="32"/>
        </w:rPr>
        <w:t>Confusing, unclear pricing</w:t>
      </w:r>
    </w:p>
    <w:p w14:paraId="7DF94404" w14:textId="77777777" w:rsidR="00FA7B5E" w:rsidRDefault="00FA7B5E" w:rsidP="00FA7B5E">
      <w:pPr>
        <w:pStyle w:val="ListParagraph"/>
        <w:numPr>
          <w:ilvl w:val="0"/>
          <w:numId w:val="15"/>
        </w:numPr>
      </w:pPr>
      <w:r w:rsidRPr="003B583C">
        <w:t>Consider</w:t>
      </w:r>
      <w:r>
        <w:t xml:space="preserve"> how electricity price representations can be made more transparent and comparable, including through a comparison rate model.</w:t>
      </w:r>
    </w:p>
    <w:p w14:paraId="5EB33E5E" w14:textId="77777777" w:rsidR="00FA7B5E" w:rsidRDefault="00FA7B5E" w:rsidP="00FA7B5E">
      <w:pPr>
        <w:pStyle w:val="ListParagraph"/>
        <w:numPr>
          <w:ilvl w:val="0"/>
          <w:numId w:val="15"/>
        </w:numPr>
      </w:pPr>
      <w:r>
        <w:t>Investigate</w:t>
      </w:r>
      <w:r w:rsidRPr="004F5665">
        <w:t xml:space="preserve"> whether benefit periods</w:t>
      </w:r>
      <w:r>
        <w:t xml:space="preserve"> may</w:t>
      </w:r>
      <w:r w:rsidRPr="004F5665">
        <w:t xml:space="preserve"> constitute misleading or deceptive conduct</w:t>
      </w:r>
      <w:r>
        <w:t>,</w:t>
      </w:r>
      <w:r w:rsidRPr="004F5665">
        <w:t xml:space="preserve"> or an unfair contract term</w:t>
      </w:r>
      <w:r>
        <w:t>,</w:t>
      </w:r>
      <w:r w:rsidRPr="004F5665">
        <w:t xml:space="preserve"> under the </w:t>
      </w:r>
      <w:r w:rsidRPr="00476907">
        <w:rPr>
          <w:i/>
        </w:rPr>
        <w:t xml:space="preserve">Competition and Consumer Act 2010 </w:t>
      </w:r>
      <w:r w:rsidRPr="004F5665">
        <w:t>(</w:t>
      </w:r>
      <w:proofErr w:type="spellStart"/>
      <w:r w:rsidRPr="004F5665">
        <w:t>Cth</w:t>
      </w:r>
      <w:proofErr w:type="spellEnd"/>
      <w:r w:rsidRPr="004F5665">
        <w:t>).</w:t>
      </w:r>
    </w:p>
    <w:p w14:paraId="1D6C922A" w14:textId="77777777" w:rsidR="00FA7B5E" w:rsidRDefault="00FA7B5E" w:rsidP="00FA7B5E">
      <w:pPr>
        <w:pStyle w:val="ListParagraph"/>
        <w:numPr>
          <w:ilvl w:val="0"/>
          <w:numId w:val="15"/>
        </w:numPr>
      </w:pPr>
      <w:r>
        <w:t>Seek industry data on customer outcomes at the end of benefit periods.</w:t>
      </w:r>
    </w:p>
    <w:p w14:paraId="69300BF4" w14:textId="77777777" w:rsidR="00FA7B5E" w:rsidRPr="00476907" w:rsidRDefault="00FA7B5E" w:rsidP="00FA7B5E">
      <w:pPr>
        <w:pStyle w:val="ListParagraph"/>
        <w:numPr>
          <w:ilvl w:val="0"/>
          <w:numId w:val="15"/>
        </w:numPr>
      </w:pPr>
      <w:r>
        <w:t xml:space="preserve">Consider whether there is a lack of transparency around the composition of fixed charges and whether the fixed charge should be based on network and policy costs only. </w:t>
      </w:r>
    </w:p>
    <w:p w14:paraId="73478068" w14:textId="77777777" w:rsidR="00FA7B5E" w:rsidRDefault="00FA7B5E" w:rsidP="00FA7B5E">
      <w:pPr>
        <w:rPr>
          <w:b/>
          <w:color w:val="E36C0A" w:themeColor="accent6" w:themeShade="BF"/>
          <w:sz w:val="32"/>
          <w:szCs w:val="32"/>
        </w:rPr>
      </w:pPr>
      <w:r>
        <w:rPr>
          <w:b/>
          <w:color w:val="E36C0A" w:themeColor="accent6" w:themeShade="BF"/>
          <w:sz w:val="32"/>
          <w:szCs w:val="32"/>
        </w:rPr>
        <w:t>Consumer education has its limits</w:t>
      </w:r>
    </w:p>
    <w:p w14:paraId="1915FDC9" w14:textId="77777777" w:rsidR="00FA7B5E" w:rsidRDefault="00FA7B5E" w:rsidP="00FA7B5E">
      <w:pPr>
        <w:pStyle w:val="ListParagraph"/>
        <w:numPr>
          <w:ilvl w:val="0"/>
          <w:numId w:val="16"/>
        </w:numPr>
      </w:pPr>
      <w:r>
        <w:t>Examine the benefits of an independent energy brokerage service for residential customers.</w:t>
      </w:r>
    </w:p>
    <w:p w14:paraId="3FC1C84E" w14:textId="77777777" w:rsidR="00FA7B5E" w:rsidRDefault="00FA7B5E">
      <w:pPr>
        <w:spacing w:before="200"/>
        <w:rPr>
          <w:b/>
          <w:color w:val="D84920"/>
          <w:sz w:val="50"/>
          <w:szCs w:val="50"/>
          <w:lang w:val="en-AU"/>
        </w:rPr>
      </w:pPr>
      <w:r>
        <w:rPr>
          <w:lang w:val="en-AU"/>
        </w:rPr>
        <w:br w:type="page"/>
      </w:r>
    </w:p>
    <w:p w14:paraId="31E785F1" w14:textId="7ECAA8FC" w:rsidR="00952993" w:rsidRPr="00062374" w:rsidRDefault="00D77C06" w:rsidP="00062374">
      <w:pPr>
        <w:pStyle w:val="Heading1"/>
        <w:rPr>
          <w:lang w:val="en-AU"/>
        </w:rPr>
      </w:pPr>
      <w:bookmarkStart w:id="4" w:name="_Toc487183899"/>
      <w:r w:rsidRPr="00062374">
        <w:rPr>
          <w:lang w:val="en-AU"/>
        </w:rPr>
        <w:t>Causes of price increases</w:t>
      </w:r>
      <w:bookmarkEnd w:id="4"/>
      <w:r w:rsidR="00952993" w:rsidRPr="00062374">
        <w:rPr>
          <w:lang w:val="en-AU"/>
        </w:rPr>
        <w:t xml:space="preserve"> </w:t>
      </w:r>
    </w:p>
    <w:p w14:paraId="276F7F1A" w14:textId="6005CA1B" w:rsidR="00A771B4" w:rsidRDefault="00A771B4" w:rsidP="00A771B4">
      <w:r>
        <w:t>Adequate data on retail p</w:t>
      </w:r>
      <w:r w:rsidR="000E4D74">
        <w:t>rice movements and their causes</w:t>
      </w:r>
      <w:r w:rsidR="00E3107F">
        <w:t xml:space="preserve"> is</w:t>
      </w:r>
      <w:r>
        <w:t xml:space="preserve"> difficult to obtain. </w:t>
      </w:r>
      <w:r w:rsidR="00C715D1">
        <w:t>The existing</w:t>
      </w:r>
      <w:r>
        <w:t xml:space="preserve"> data </w:t>
      </w:r>
      <w:r w:rsidR="00C715D1">
        <w:t>tend</w:t>
      </w:r>
      <w:r w:rsidR="00E3107F">
        <w:t>s</w:t>
      </w:r>
      <w:r w:rsidR="00C715D1">
        <w:t xml:space="preserve"> to </w:t>
      </w:r>
      <w:r>
        <w:t xml:space="preserve">track standing offers, which </w:t>
      </w:r>
      <w:r w:rsidR="00C715D1">
        <w:t>are generally</w:t>
      </w:r>
      <w:r>
        <w:t xml:space="preserve"> higher than market offer prices, so price increases</w:t>
      </w:r>
      <w:r w:rsidR="00E3107F">
        <w:t xml:space="preserve"> may have been lower</w:t>
      </w:r>
      <w:r>
        <w:t xml:space="preserve"> </w:t>
      </w:r>
      <w:r w:rsidR="00E3107F">
        <w:t xml:space="preserve">than </w:t>
      </w:r>
      <w:r>
        <w:t>the existing data suggest</w:t>
      </w:r>
      <w:r w:rsidR="00E3107F">
        <w:t>s. Nevertheless</w:t>
      </w:r>
      <w:r>
        <w:t>, even if marke</w:t>
      </w:r>
      <w:r w:rsidR="00E3107F">
        <w:t>t offers were factored in</w:t>
      </w:r>
      <w:r>
        <w:t>, it is likely elec</w:t>
      </w:r>
      <w:r w:rsidR="00A60193">
        <w:t xml:space="preserve">tricity price </w:t>
      </w:r>
      <w:r w:rsidR="00E3107F">
        <w:t>rises</w:t>
      </w:r>
      <w:r>
        <w:t xml:space="preserve"> substantially outpaced CPI over the </w:t>
      </w:r>
      <w:r w:rsidR="004D7734">
        <w:t>past decade.</w:t>
      </w:r>
    </w:p>
    <w:p w14:paraId="636DF955" w14:textId="4CA437A0" w:rsidR="00024E5D" w:rsidRDefault="00B874ED" w:rsidP="00CE5762">
      <w:r>
        <w:t>While we</w:t>
      </w:r>
      <w:r w:rsidR="00971900">
        <w:t xml:space="preserve"> appreciate the ACCC will be obtaining industry data on</w:t>
      </w:r>
      <w:r w:rsidR="000E4D74">
        <w:t xml:space="preserve"> the causes of price increases</w:t>
      </w:r>
      <w:r>
        <w:t xml:space="preserve">, we comment briefly </w:t>
      </w:r>
      <w:r w:rsidR="00C14A72">
        <w:t xml:space="preserve">on what </w:t>
      </w:r>
      <w:r w:rsidR="000E4D74">
        <w:t>seem to be the main causes</w:t>
      </w:r>
      <w:r w:rsidR="00C14A72">
        <w:t xml:space="preserve">. We also note that </w:t>
      </w:r>
      <w:r w:rsidR="00DE4A66">
        <w:t>although</w:t>
      </w:r>
      <w:r w:rsidR="00971900">
        <w:t xml:space="preserve"> the cost components of Victorian electricity prices are the same as other states and territories, the respective contributions of these costs differ from other states and </w:t>
      </w:r>
      <w:r w:rsidR="00C14A72">
        <w:t>territories</w:t>
      </w:r>
      <w:r w:rsidR="00971900">
        <w:t xml:space="preserve">. </w:t>
      </w:r>
      <w:r w:rsidR="009574BA">
        <w:t>We</w:t>
      </w:r>
      <w:r w:rsidR="00C14A72">
        <w:t xml:space="preserve"> therefore</w:t>
      </w:r>
      <w:r w:rsidR="009574BA">
        <w:t xml:space="preserve"> suggest the </w:t>
      </w:r>
      <w:r w:rsidR="00B6223C">
        <w:t xml:space="preserve">ACCC’s </w:t>
      </w:r>
      <w:r w:rsidR="009574BA">
        <w:t xml:space="preserve">analysis of retail prices needs to be conducted jurisdiction-by-jurisdiction, rather than at a national level. </w:t>
      </w:r>
    </w:p>
    <w:p w14:paraId="7B773058" w14:textId="75A7A458" w:rsidR="00200984" w:rsidRPr="00B5153F" w:rsidRDefault="00E3107F" w:rsidP="00200984">
      <w:r>
        <w:t xml:space="preserve">The ACCC should also detail the </w:t>
      </w:r>
      <w:r w:rsidR="006506F3">
        <w:t>cost components of retail electricity prices</w:t>
      </w:r>
      <w:r>
        <w:t xml:space="preserve"> to determine if costs are shared equitably between different household types, including environmental scheme and other government policy costs.</w:t>
      </w:r>
      <w:r w:rsidR="00200984">
        <w:t xml:space="preserve"> </w:t>
      </w:r>
      <w:r w:rsidR="00200984" w:rsidRPr="00B5153F">
        <w:t xml:space="preserve">VCOSS supports policies aimed at emissions reduction, </w:t>
      </w:r>
      <w:r w:rsidR="00200984">
        <w:t xml:space="preserve">but </w:t>
      </w:r>
      <w:r w:rsidR="00200984" w:rsidRPr="00B5153F">
        <w:t xml:space="preserve">we are concerned RET and solar feed-in tariff costs are currently being recovered in an inequitable way and produce higher bills than necessary for people on low incomes. </w:t>
      </w:r>
      <w:r w:rsidR="00200984">
        <w:t xml:space="preserve">The funding of these government policy measures is not proportionate to household income but the level of grid electricity used, particularly disadvantaging people on low incomes. </w:t>
      </w:r>
      <w:r w:rsidR="00200984" w:rsidRPr="00B5153F">
        <w:t>L</w:t>
      </w:r>
      <w:r w:rsidR="00200984">
        <w:t>ow-</w:t>
      </w:r>
      <w:r w:rsidR="00200984" w:rsidRPr="00B5153F">
        <w:t>income households are generally less able than more affluent households to s</w:t>
      </w:r>
      <w:r w:rsidR="00200984">
        <w:t>ignificantly reduce grid</w:t>
      </w:r>
      <w:r w:rsidR="00200984" w:rsidRPr="00B5153F">
        <w:t xml:space="preserve"> electricity</w:t>
      </w:r>
      <w:r w:rsidR="00200984">
        <w:t xml:space="preserve"> use</w:t>
      </w:r>
      <w:r w:rsidR="00200984" w:rsidRPr="00B5153F">
        <w:t xml:space="preserve"> by installing solar systems and energy efficiency measures, whether due to housing tenure (living in private rental or social housing) or constrained incomes.</w:t>
      </w:r>
      <w:r w:rsidR="00113268">
        <w:rPr>
          <w:rStyle w:val="FootnoteReference"/>
        </w:rPr>
        <w:footnoteReference w:id="10"/>
      </w:r>
      <w:r w:rsidR="00200984" w:rsidRPr="00B5153F">
        <w:t xml:space="preserve"> </w:t>
      </w:r>
      <w:r w:rsidR="00200984">
        <w:t>As well as being more reliant on grid el</w:t>
      </w:r>
      <w:r w:rsidR="006B30FF">
        <w:t>ectricity, people in financial difficulty</w:t>
      </w:r>
      <w:r w:rsidR="00913331">
        <w:t xml:space="preserve"> </w:t>
      </w:r>
      <w:r w:rsidR="00200984">
        <w:t>can experience higher than a</w:t>
      </w:r>
      <w:r w:rsidR="006B30FF">
        <w:t>verage consumption levels.</w:t>
      </w:r>
      <w:r w:rsidR="00200984">
        <w:rPr>
          <w:rStyle w:val="FootnoteReference"/>
        </w:rPr>
        <w:footnoteReference w:id="11"/>
      </w:r>
      <w:r w:rsidR="00200984">
        <w:t xml:space="preserve"> </w:t>
      </w:r>
    </w:p>
    <w:p w14:paraId="31B0AB9B" w14:textId="77777777" w:rsidR="00062374" w:rsidRDefault="00062374">
      <w:pPr>
        <w:spacing w:before="200"/>
        <w:rPr>
          <w:rFonts w:eastAsiaTheme="majorEastAsia" w:cstheme="majorBidi"/>
          <w:b/>
          <w:bCs/>
          <w:color w:val="E36C0A" w:themeColor="accent6" w:themeShade="BF"/>
          <w:sz w:val="32"/>
          <w:szCs w:val="26"/>
        </w:rPr>
      </w:pPr>
      <w:r>
        <w:br w:type="page"/>
      </w:r>
    </w:p>
    <w:p w14:paraId="4C635B4B" w14:textId="4EC68A33" w:rsidR="00024E5D" w:rsidRDefault="00AB2A7D" w:rsidP="00AB2A7D">
      <w:pPr>
        <w:pStyle w:val="Heading2"/>
      </w:pPr>
      <w:bookmarkStart w:id="5" w:name="_Toc487183900"/>
      <w:r>
        <w:t>Wholesale costs</w:t>
      </w:r>
      <w:bookmarkEnd w:id="5"/>
    </w:p>
    <w:p w14:paraId="0DF2CA1A" w14:textId="77777777" w:rsidR="00062374" w:rsidRDefault="00062374" w:rsidP="00062374">
      <w:pPr>
        <w:pStyle w:val="Boxheading"/>
      </w:pPr>
      <w:r>
        <w:t>Recommendation</w:t>
      </w:r>
    </w:p>
    <w:p w14:paraId="363FF5D4" w14:textId="77777777" w:rsidR="00062374" w:rsidRPr="00775CD6" w:rsidRDefault="00062374" w:rsidP="00062374">
      <w:pPr>
        <w:pStyle w:val="Boxtext"/>
      </w:pPr>
      <w:r>
        <w:t>Analyse wholesale cost drivers, including the effects of the transition to lower-emission generation sources, and the impact of wholesale costs on retail prices.</w:t>
      </w:r>
    </w:p>
    <w:p w14:paraId="4B1CE4D5" w14:textId="77777777" w:rsidR="00062374" w:rsidRDefault="00062374" w:rsidP="00AB2A7D"/>
    <w:p w14:paraId="0F35B43B" w14:textId="1146A4AE" w:rsidR="009C08BB" w:rsidRDefault="00971900" w:rsidP="00AB2A7D">
      <w:r>
        <w:t>Until recently, there does not appear to have been</w:t>
      </w:r>
      <w:r w:rsidR="000F02FF">
        <w:t xml:space="preserve"> </w:t>
      </w:r>
      <w:r>
        <w:t xml:space="preserve">a </w:t>
      </w:r>
      <w:r w:rsidR="000F02FF">
        <w:t>relationship between wholesale price</w:t>
      </w:r>
      <w:r>
        <w:t xml:space="preserve"> trends and retail price increases in</w:t>
      </w:r>
      <w:r w:rsidR="000F02FF">
        <w:t xml:space="preserve"> Victoria. </w:t>
      </w:r>
      <w:r w:rsidR="006506F3">
        <w:t xml:space="preserve">Although </w:t>
      </w:r>
      <w:r w:rsidR="00DD49C5">
        <w:t>wholesale prices have been volatile over the past decade, the long-term trend has been fairly flat until recently, and there is no</w:t>
      </w:r>
      <w:r w:rsidR="006506F3">
        <w:t xml:space="preserve"> apparent</w:t>
      </w:r>
      <w:r w:rsidR="00DD49C5">
        <w:t xml:space="preserve"> trend in wholesale pricing that could explain the marked increase in retail prices from 2005.</w:t>
      </w:r>
      <w:r w:rsidR="00DD49C5">
        <w:rPr>
          <w:rStyle w:val="FootnoteReference"/>
        </w:rPr>
        <w:footnoteReference w:id="12"/>
      </w:r>
      <w:r w:rsidR="00DD49C5">
        <w:t xml:space="preserve">  </w:t>
      </w:r>
    </w:p>
    <w:p w14:paraId="4AC7791F" w14:textId="29676AA2" w:rsidR="00B02F11" w:rsidRDefault="000E4D74" w:rsidP="00B02F11">
      <w:r>
        <w:t>The drivers of wholesale cost</w:t>
      </w:r>
      <w:r w:rsidR="00D262D3">
        <w:t>s</w:t>
      </w:r>
      <w:r>
        <w:t xml:space="preserve"> </w:t>
      </w:r>
      <w:r w:rsidR="00140766">
        <w:t xml:space="preserve">are complex. </w:t>
      </w:r>
      <w:r w:rsidR="00985EF1">
        <w:t>One cause of the recent price spike appears to be the</w:t>
      </w:r>
      <w:r w:rsidR="003F2801">
        <w:t xml:space="preserve"> poorly </w:t>
      </w:r>
      <w:r w:rsidR="003B42B8">
        <w:t>managed transition to lower-emission generation sources</w:t>
      </w:r>
      <w:r w:rsidR="00B02F11">
        <w:t>, as well as rising wholesale gas prices (across the National Electricity Market</w:t>
      </w:r>
      <w:r w:rsidR="004E260A">
        <w:t xml:space="preserve"> (NEM)</w:t>
      </w:r>
      <w:r w:rsidR="00B02F11">
        <w:t>, gas-fired electricity generation sets the marginal wholesale cost).</w:t>
      </w:r>
      <w:r w:rsidR="00B02F11">
        <w:rPr>
          <w:rStyle w:val="FootnoteReference"/>
        </w:rPr>
        <w:footnoteReference w:id="13"/>
      </w:r>
      <w:r w:rsidR="00D262D3">
        <w:t xml:space="preserve"> The Finkel review states:</w:t>
      </w:r>
    </w:p>
    <w:p w14:paraId="2D116475" w14:textId="3B15EAB2" w:rsidR="003B42B8" w:rsidRDefault="00B02F11" w:rsidP="00AE1C98">
      <w:pPr>
        <w:ind w:left="567"/>
        <w:rPr>
          <w:sz w:val="20"/>
        </w:rPr>
      </w:pPr>
      <w:r>
        <w:rPr>
          <w:sz w:val="20"/>
        </w:rPr>
        <w:t xml:space="preserve">Recently in the NEM, there has been relatively flat or decreasing demand, and additional </w:t>
      </w:r>
      <w:r w:rsidR="005858F3">
        <w:rPr>
          <w:sz w:val="20"/>
        </w:rPr>
        <w:t xml:space="preserve">VRE </w:t>
      </w:r>
      <w:r>
        <w:rPr>
          <w:sz w:val="20"/>
        </w:rPr>
        <w:t>[variable renewable electricity] capacity has been incentivised to enter the market through the Renewable Energy Target scheme. This has resulted in a sustained period of relatively low wholesale prices, which gives little incentive for additional generation to enter the market. Uncertainly around emission</w:t>
      </w:r>
      <w:r w:rsidR="003B42B8">
        <w:rPr>
          <w:sz w:val="20"/>
        </w:rPr>
        <w:t>s</w:t>
      </w:r>
      <w:r>
        <w:rPr>
          <w:sz w:val="20"/>
        </w:rPr>
        <w:t xml:space="preserve"> reduction policy </w:t>
      </w:r>
      <w:r w:rsidR="003B42B8">
        <w:rPr>
          <w:sz w:val="20"/>
        </w:rPr>
        <w:t>has further inhibited new investment in dispatchable capacity.</w:t>
      </w:r>
    </w:p>
    <w:p w14:paraId="3EEB2199" w14:textId="129C36EC" w:rsidR="00AE1C98" w:rsidRPr="00B02F11" w:rsidRDefault="003B42B8" w:rsidP="00D262D3">
      <w:pPr>
        <w:ind w:left="567"/>
        <w:rPr>
          <w:sz w:val="20"/>
        </w:rPr>
      </w:pPr>
      <w:r>
        <w:rPr>
          <w:sz w:val="20"/>
        </w:rPr>
        <w:t xml:space="preserve">Under these conditions, the [energy] market is expected to quickly shift from a state of capacity oversupply to undersupply, when generators exit the market with relatively little notice. This leaves the system operating </w:t>
      </w:r>
      <w:r w:rsidR="00AE1C98">
        <w:rPr>
          <w:sz w:val="20"/>
        </w:rPr>
        <w:t>in a state of undersupply, which rapidly increases prices and has adverse implications for reliabi</w:t>
      </w:r>
      <w:r w:rsidR="00D262D3">
        <w:rPr>
          <w:sz w:val="20"/>
        </w:rPr>
        <w:t>lity</w:t>
      </w:r>
      <w:r w:rsidR="00AE1C98">
        <w:rPr>
          <w:sz w:val="20"/>
        </w:rPr>
        <w:t>.</w:t>
      </w:r>
      <w:r w:rsidR="00AE1C98">
        <w:rPr>
          <w:rStyle w:val="FootnoteReference"/>
          <w:sz w:val="20"/>
        </w:rPr>
        <w:footnoteReference w:id="14"/>
      </w:r>
    </w:p>
    <w:p w14:paraId="755A1DB0" w14:textId="211A5B98" w:rsidR="00140766" w:rsidRDefault="00D262D3" w:rsidP="00AB2A7D">
      <w:r>
        <w:t>The</w:t>
      </w:r>
      <w:r w:rsidR="001A5D80">
        <w:t xml:space="preserve"> closure of the Hazelwood power station will likely put further pressure on wholesale costs in the short to medium term, which has already been reflected in </w:t>
      </w:r>
      <w:r w:rsidR="00140766">
        <w:t>s</w:t>
      </w:r>
      <w:r w:rsidR="001A5D80">
        <w:t xml:space="preserve">ignificant </w:t>
      </w:r>
      <w:r w:rsidR="00AE1C98">
        <w:t xml:space="preserve">Victorian </w:t>
      </w:r>
      <w:r w:rsidR="001A5D80">
        <w:t>standing offer price rises of between 6 to</w:t>
      </w:r>
      <w:r>
        <w:t xml:space="preserve"> 10.5 per cent in January 2017.</w:t>
      </w:r>
      <w:r w:rsidR="001A5D80">
        <w:rPr>
          <w:rStyle w:val="FootnoteReference"/>
        </w:rPr>
        <w:footnoteReference w:id="15"/>
      </w:r>
      <w:r w:rsidR="00796B90">
        <w:t xml:space="preserve"> </w:t>
      </w:r>
    </w:p>
    <w:p w14:paraId="22EE905C" w14:textId="612162CF" w:rsidR="00796B90" w:rsidRDefault="007A0C9B" w:rsidP="00AB2A7D">
      <w:r>
        <w:t xml:space="preserve">A further wholesale cost driver, according to the Finkel review, is increased wholesale spot price volatility due to increasing renewable electricity generation in the NEM. Because </w:t>
      </w:r>
      <w:r w:rsidR="003F2801">
        <w:t>this type of</w:t>
      </w:r>
      <w:r>
        <w:t xml:space="preserve"> generation can drop relatively suddenly</w:t>
      </w:r>
      <w:r w:rsidR="005858F3">
        <w:t>,</w:t>
      </w:r>
      <w:r>
        <w:t xml:space="preserve"> other sources of generation may have to rapidly </w:t>
      </w:r>
      <w:r w:rsidR="005858F3">
        <w:t>ramp up. This</w:t>
      </w:r>
      <w:r>
        <w:t xml:space="preserve"> increases price volat</w:t>
      </w:r>
      <w:r w:rsidR="005858F3">
        <w:t>ility, and</w:t>
      </w:r>
      <w:r>
        <w:t xml:space="preserve"> potentially the cost of managing this price volatility</w:t>
      </w:r>
      <w:r w:rsidR="00A37F2B">
        <w:t xml:space="preserve"> through hedge contracts</w:t>
      </w:r>
      <w:r>
        <w:t>.</w:t>
      </w:r>
      <w:r w:rsidR="005858F3">
        <w:t xml:space="preserve"> In future, however, the Finkel review suggests that ‘the fact that VRE [variable renewable electricity] generators operate with no fuel cost could, with the right policy framework and further technological development, be used to reduce overall wholesale prices.’</w:t>
      </w:r>
      <w:r w:rsidR="005858F3">
        <w:rPr>
          <w:rStyle w:val="FootnoteReference"/>
        </w:rPr>
        <w:footnoteReference w:id="16"/>
      </w:r>
      <w:r>
        <w:t xml:space="preserve"> </w:t>
      </w:r>
    </w:p>
    <w:p w14:paraId="08F3E397" w14:textId="398E6482" w:rsidR="00985EF1" w:rsidRDefault="00985EF1" w:rsidP="00AB2A7D">
      <w:r>
        <w:t xml:space="preserve">While the current inquiry focuses on the retail electricity market, </w:t>
      </w:r>
      <w:r w:rsidR="00475887">
        <w:t>we seek</w:t>
      </w:r>
      <w:r>
        <w:t xml:space="preserve"> ACCC analysis of wholesale cost drivers to the extent possible, given they are increasingly affecting retail prices.</w:t>
      </w:r>
    </w:p>
    <w:p w14:paraId="7FABB3A6" w14:textId="36ED302E" w:rsidR="00AB2A7D" w:rsidRDefault="00AB2A7D" w:rsidP="00AB2A7D">
      <w:pPr>
        <w:pStyle w:val="Heading2"/>
      </w:pPr>
      <w:bookmarkStart w:id="6" w:name="_Toc487183901"/>
      <w:r>
        <w:t>Network costs</w:t>
      </w:r>
      <w:bookmarkEnd w:id="6"/>
    </w:p>
    <w:p w14:paraId="1EBC6994" w14:textId="63DC0B84" w:rsidR="00F65DCF" w:rsidRDefault="00D50730" w:rsidP="00F65DCF">
      <w:r>
        <w:t>Network charges are estimated to</w:t>
      </w:r>
      <w:r w:rsidR="00574CAE">
        <w:t xml:space="preserve"> comprise 45 per cent of Victorian electricity bills, close to the national average of 46 per cent.</w:t>
      </w:r>
      <w:r w:rsidR="00574CAE">
        <w:rPr>
          <w:rStyle w:val="FootnoteReference"/>
        </w:rPr>
        <w:footnoteReference w:id="17"/>
      </w:r>
      <w:r w:rsidR="00F65DCF">
        <w:t xml:space="preserve"> </w:t>
      </w:r>
      <w:r>
        <w:t>The</w:t>
      </w:r>
      <w:r w:rsidR="00F65DCF">
        <w:t xml:space="preserve"> network charge component of bills varies between standing offers and market offers in Victoria: </w:t>
      </w:r>
    </w:p>
    <w:p w14:paraId="22162F86" w14:textId="77777777" w:rsidR="00F65DCF" w:rsidRDefault="00F65DCF" w:rsidP="00476907">
      <w:pPr>
        <w:pStyle w:val="ListParagraph"/>
        <w:numPr>
          <w:ilvl w:val="0"/>
          <w:numId w:val="4"/>
        </w:numPr>
      </w:pPr>
      <w:r>
        <w:t>for market offers taking effect post-July 2016, network charges comprised 36 to 47 per cent of the average annual bill</w:t>
      </w:r>
    </w:p>
    <w:p w14:paraId="786EC2AD" w14:textId="77777777" w:rsidR="00321734" w:rsidRDefault="00F65DCF" w:rsidP="00476907">
      <w:pPr>
        <w:pStyle w:val="ListParagraph"/>
        <w:numPr>
          <w:ilvl w:val="0"/>
          <w:numId w:val="4"/>
        </w:numPr>
      </w:pPr>
      <w:proofErr w:type="gramStart"/>
      <w:r>
        <w:t>by</w:t>
      </w:r>
      <w:proofErr w:type="gramEnd"/>
      <w:r>
        <w:t xml:space="preserve"> comparison, for standing offers taking effect post-July 2016, network charges comprised 29 to 37 per cent of the average annual bill, depending on network area. </w:t>
      </w:r>
    </w:p>
    <w:p w14:paraId="4EC81755" w14:textId="4C2F51C5" w:rsidR="00F65DCF" w:rsidRDefault="00F65DCF" w:rsidP="00321734">
      <w:r>
        <w:t>This is largely because retail costs take up a larger component of Victorian standing offers, and a relatively smaller component of market offers.</w:t>
      </w:r>
      <w:r>
        <w:rPr>
          <w:rStyle w:val="FootnoteReference"/>
        </w:rPr>
        <w:footnoteReference w:id="18"/>
      </w:r>
    </w:p>
    <w:p w14:paraId="32219393" w14:textId="708D075C" w:rsidR="00B27A5C" w:rsidRDefault="00F65DCF" w:rsidP="00CE5762">
      <w:r>
        <w:t>Network c</w:t>
      </w:r>
      <w:r w:rsidR="007A4592">
        <w:t>osts do not fully</w:t>
      </w:r>
      <w:r w:rsidR="002501E5">
        <w:t xml:space="preserve"> explain</w:t>
      </w:r>
      <w:r w:rsidR="00DD49C5">
        <w:t xml:space="preserve"> </w:t>
      </w:r>
      <w:r w:rsidR="002501E5">
        <w:t>Victorian retail price increases</w:t>
      </w:r>
      <w:r w:rsidR="00DD49C5">
        <w:t>.</w:t>
      </w:r>
      <w:r>
        <w:t xml:space="preserve"> </w:t>
      </w:r>
      <w:r w:rsidR="003B506D">
        <w:t>R</w:t>
      </w:r>
      <w:r w:rsidR="002501E5">
        <w:t>etail prices have outpaced network co</w:t>
      </w:r>
      <w:r w:rsidR="003B506D">
        <w:t>sts over the past decade.</w:t>
      </w:r>
      <w:r w:rsidR="00542042">
        <w:rPr>
          <w:rStyle w:val="FootnoteReference"/>
        </w:rPr>
        <w:footnoteReference w:id="19"/>
      </w:r>
      <w:r w:rsidR="007A4592">
        <w:t xml:space="preserve"> </w:t>
      </w:r>
      <w:r w:rsidR="003B506D">
        <w:t>Network costs</w:t>
      </w:r>
      <w:r w:rsidR="002501E5">
        <w:t xml:space="preserve"> </w:t>
      </w:r>
      <w:r w:rsidR="003B506D">
        <w:t xml:space="preserve">do not appear to be </w:t>
      </w:r>
      <w:r w:rsidR="007A4592">
        <w:t>the</w:t>
      </w:r>
      <w:r w:rsidR="000E4D74">
        <w:t xml:space="preserve"> main cause </w:t>
      </w:r>
      <w:r w:rsidR="005277A3">
        <w:t>of the 2017 electricity price increases.</w:t>
      </w:r>
      <w:r w:rsidR="00162049">
        <w:t xml:space="preserve"> </w:t>
      </w:r>
      <w:r w:rsidR="007A4592">
        <w:t>If network costs were</w:t>
      </w:r>
      <w:r w:rsidR="00347957">
        <w:t xml:space="preserve"> a major </w:t>
      </w:r>
      <w:r w:rsidR="000E4D74">
        <w:t>cause</w:t>
      </w:r>
      <w:r w:rsidR="007A4592">
        <w:t xml:space="preserve">, we would expect to see </w:t>
      </w:r>
      <w:r w:rsidR="00BD5D71">
        <w:t>some pattern in</w:t>
      </w:r>
      <w:r w:rsidR="00B27A5C">
        <w:t xml:space="preserve"> retail price increases</w:t>
      </w:r>
      <w:r w:rsidR="007A4592">
        <w:t xml:space="preserve"> within a network area. </w:t>
      </w:r>
      <w:r w:rsidR="00B27A5C">
        <w:t>However, r</w:t>
      </w:r>
      <w:r w:rsidR="00A37F2B">
        <w:t xml:space="preserve">ecent standing offer </w:t>
      </w:r>
      <w:r w:rsidR="00B27A5C">
        <w:t>increases in January 2017 varied significantly among retailers within each network area.</w:t>
      </w:r>
      <w:r w:rsidR="007A4592">
        <w:rPr>
          <w:rStyle w:val="FootnoteReference"/>
        </w:rPr>
        <w:footnoteReference w:id="20"/>
      </w:r>
      <w:r w:rsidR="00162049">
        <w:t xml:space="preserve"> </w:t>
      </w:r>
    </w:p>
    <w:p w14:paraId="7EA6987C" w14:textId="6EFAE5FC" w:rsidR="00DA546C" w:rsidRDefault="004E260A" w:rsidP="00CE5762">
      <w:r>
        <w:t xml:space="preserve">The </w:t>
      </w:r>
      <w:r w:rsidR="00CE069B">
        <w:t xml:space="preserve">AER </w:t>
      </w:r>
      <w:r w:rsidR="003B506D">
        <w:t>states</w:t>
      </w:r>
      <w:r>
        <w:t xml:space="preserve"> significantly lower network charges in Victoria helped offset the impact of rising wholesale </w:t>
      </w:r>
      <w:r w:rsidR="00542042">
        <w:t>costs in 2016</w:t>
      </w:r>
      <w:r w:rsidR="002F35FC">
        <w:t>, and in fact contributed to bill reductions.</w:t>
      </w:r>
      <w:r>
        <w:rPr>
          <w:rStyle w:val="FootnoteReference"/>
        </w:rPr>
        <w:footnoteReference w:id="21"/>
      </w:r>
    </w:p>
    <w:p w14:paraId="3BF0F546" w14:textId="32FB6C4E" w:rsidR="00542042" w:rsidRDefault="00542042" w:rsidP="00CE5762">
      <w:r>
        <w:t>Victoria may therefore be in a relatively unique position in terms of network costs, compared with some other states and territories.</w:t>
      </w:r>
    </w:p>
    <w:p w14:paraId="26A1D910" w14:textId="77777777" w:rsidR="001B5811" w:rsidRDefault="001B5811" w:rsidP="00CE5762"/>
    <w:p w14:paraId="2A10F70E" w14:textId="77777777" w:rsidR="001B5811" w:rsidRDefault="001B5811" w:rsidP="00CE5762"/>
    <w:p w14:paraId="67E2AF6C" w14:textId="77777777" w:rsidR="001B5811" w:rsidRDefault="001B5811" w:rsidP="00CE5762"/>
    <w:p w14:paraId="79D2B30B" w14:textId="2F2D241D" w:rsidR="00AB2A7D" w:rsidRDefault="00AB2A7D" w:rsidP="00AB2A7D">
      <w:pPr>
        <w:pStyle w:val="Heading2"/>
      </w:pPr>
      <w:bookmarkStart w:id="7" w:name="_Toc487183902"/>
      <w:r>
        <w:t>Environmental scheme</w:t>
      </w:r>
      <w:r w:rsidR="00200984">
        <w:t xml:space="preserve"> and other policy</w:t>
      </w:r>
      <w:r>
        <w:t xml:space="preserve"> costs</w:t>
      </w:r>
      <w:bookmarkEnd w:id="7"/>
    </w:p>
    <w:p w14:paraId="501ACBDA" w14:textId="77777777" w:rsidR="00062374" w:rsidRDefault="00062374" w:rsidP="00062374">
      <w:pPr>
        <w:pStyle w:val="Boxheading"/>
      </w:pPr>
      <w:r>
        <w:t>Recommendation</w:t>
      </w:r>
    </w:p>
    <w:p w14:paraId="2F0B3ECA" w14:textId="77777777" w:rsidR="00062374" w:rsidRPr="008C747C" w:rsidRDefault="00062374" w:rsidP="00062374">
      <w:pPr>
        <w:pStyle w:val="Boxtext"/>
      </w:pPr>
      <w:r>
        <w:t>Analyse the impact of environmental scheme and other government policy costs on low income households, and any likely changes to environmental scheme costs arising from the transition to a lower-emissions electricity market, including any increase in solar feed-in tariff costs as more households install distributed energy arrangements.</w:t>
      </w:r>
    </w:p>
    <w:p w14:paraId="113C2324" w14:textId="77777777" w:rsidR="00062374" w:rsidRDefault="00062374" w:rsidP="00AB2A7D"/>
    <w:p w14:paraId="219DD30C" w14:textId="4464C663" w:rsidR="003061D9" w:rsidRDefault="00200984" w:rsidP="00AB2A7D">
      <w:r>
        <w:t>E</w:t>
      </w:r>
      <w:r w:rsidR="004571B1">
        <w:t>nvironmental scheme</w:t>
      </w:r>
      <w:r>
        <w:t xml:space="preserve"> and other government policy</w:t>
      </w:r>
      <w:r w:rsidR="004571B1">
        <w:t xml:space="preserve"> costs affect reta</w:t>
      </w:r>
      <w:r w:rsidR="00DA3E0D">
        <w:t>il prices in most jurisdictions. This</w:t>
      </w:r>
      <w:r w:rsidR="003061D9">
        <w:t xml:space="preserve"> includes the costs of:</w:t>
      </w:r>
      <w:r w:rsidR="00DA3E0D">
        <w:t xml:space="preserve"> </w:t>
      </w:r>
    </w:p>
    <w:p w14:paraId="0D0A2F8E" w14:textId="77777777" w:rsidR="003061D9" w:rsidRDefault="00DA3E0D" w:rsidP="00476907">
      <w:pPr>
        <w:pStyle w:val="ListParagraph"/>
        <w:numPr>
          <w:ilvl w:val="0"/>
          <w:numId w:val="5"/>
        </w:numPr>
      </w:pPr>
      <w:r>
        <w:t>m</w:t>
      </w:r>
      <w:r w:rsidR="007468CA">
        <w:t>eeting renewable energy</w:t>
      </w:r>
      <w:r w:rsidR="00AB5A48">
        <w:t xml:space="preserve"> targets (RETs)</w:t>
      </w:r>
    </w:p>
    <w:p w14:paraId="4F9DC413" w14:textId="6F86DD91" w:rsidR="003061D9" w:rsidRDefault="003061D9" w:rsidP="00476907">
      <w:pPr>
        <w:pStyle w:val="ListParagraph"/>
        <w:numPr>
          <w:ilvl w:val="0"/>
          <w:numId w:val="5"/>
        </w:numPr>
      </w:pPr>
      <w:r>
        <w:t xml:space="preserve">meeting </w:t>
      </w:r>
      <w:r w:rsidR="00DA3E0D">
        <w:t xml:space="preserve">energy efficiency targets, like the Victorian </w:t>
      </w:r>
      <w:r>
        <w:t>Energy Efficiency Target (VEET)</w:t>
      </w:r>
    </w:p>
    <w:p w14:paraId="74D020CA" w14:textId="23C65D58" w:rsidR="003061D9" w:rsidRDefault="002F35FC" w:rsidP="00476907">
      <w:pPr>
        <w:pStyle w:val="ListParagraph"/>
        <w:numPr>
          <w:ilvl w:val="0"/>
          <w:numId w:val="5"/>
        </w:numPr>
      </w:pPr>
      <w:r>
        <w:t xml:space="preserve">making solar feed-in </w:t>
      </w:r>
      <w:r w:rsidR="003061D9">
        <w:t>tariff payments to households with rooftop solar systems</w:t>
      </w:r>
      <w:r w:rsidR="00200984">
        <w:t xml:space="preserve"> (</w:t>
      </w:r>
      <w:r w:rsidR="00B3634E">
        <w:t>in Victoria, solar feed-in tariffs are set by the Essential Services Commission</w:t>
      </w:r>
      <w:r w:rsidR="00200984">
        <w:t>)</w:t>
      </w:r>
    </w:p>
    <w:p w14:paraId="7C18617C" w14:textId="0E6BDABD" w:rsidR="003061D9" w:rsidRDefault="003061D9" w:rsidP="00476907">
      <w:pPr>
        <w:pStyle w:val="ListParagraph"/>
        <w:numPr>
          <w:ilvl w:val="0"/>
          <w:numId w:val="5"/>
        </w:numPr>
      </w:pPr>
      <w:proofErr w:type="gramStart"/>
      <w:r>
        <w:t>the</w:t>
      </w:r>
      <w:proofErr w:type="gramEnd"/>
      <w:r>
        <w:t xml:space="preserve"> fixed price on carbon (until its abolition in 2014).</w:t>
      </w:r>
    </w:p>
    <w:p w14:paraId="65E12111" w14:textId="7277E1A5" w:rsidR="00DA3E0D" w:rsidRDefault="00DA3E0D" w:rsidP="003061D9">
      <w:r>
        <w:t xml:space="preserve">Environmental scheme costs range </w:t>
      </w:r>
      <w:r w:rsidR="007468CA">
        <w:t xml:space="preserve">from </w:t>
      </w:r>
      <w:r w:rsidR="00AB5A48">
        <w:t xml:space="preserve">6 per cent of an average </w:t>
      </w:r>
      <w:r w:rsidR="007468CA">
        <w:t>electricity bill in Tasmania, to 14 per cent of an average electricity bill in Queensland.</w:t>
      </w:r>
      <w:r>
        <w:t xml:space="preserve"> Environmental scheme costs account for 7 per cent of electricity bills in Victoria, the second lowest proportion in the NEM after Tasmania.</w:t>
      </w:r>
      <w:r>
        <w:rPr>
          <w:rStyle w:val="FootnoteReference"/>
        </w:rPr>
        <w:footnoteReference w:id="22"/>
      </w:r>
      <w:r w:rsidR="00AB5A48">
        <w:t xml:space="preserve"> </w:t>
      </w:r>
    </w:p>
    <w:p w14:paraId="5AB348D8" w14:textId="40F42AB0" w:rsidR="003061D9" w:rsidRDefault="002252CF" w:rsidP="00AB2A7D">
      <w:r>
        <w:t>Although</w:t>
      </w:r>
      <w:r w:rsidR="006F0D63">
        <w:t xml:space="preserve"> </w:t>
      </w:r>
      <w:r w:rsidR="00E36552">
        <w:t>environmental scheme costs represent a relat</w:t>
      </w:r>
      <w:r w:rsidR="00CE069B">
        <w:t>ively low proportion of Victorian bills</w:t>
      </w:r>
      <w:r w:rsidR="00E36552">
        <w:t xml:space="preserve">, they appear to have been a </w:t>
      </w:r>
      <w:r w:rsidR="00700EF7">
        <w:t xml:space="preserve">significant </w:t>
      </w:r>
      <w:r w:rsidR="000E4D74">
        <w:t>cause of Victorian retail price increases</w:t>
      </w:r>
      <w:r w:rsidR="00E36552">
        <w:t xml:space="preserve"> over the past decade. Oakley Greenwood</w:t>
      </w:r>
      <w:r w:rsidR="002F35FC">
        <w:t xml:space="preserve"> has analysed contributions to change in Victorian electricity bill prices. Their analysis shows</w:t>
      </w:r>
      <w:r w:rsidR="00E36552">
        <w:t xml:space="preserve"> </w:t>
      </w:r>
      <w:r w:rsidR="002F35FC">
        <w:t>government policy costs accounted for the largest source of electricity bill increases between 2008 and 2016 (44.1 per cent of the increase) and 2008 and 2017 (37.4 per cent of the increase). Breaking this down, over the 2008 to 2017 period:</w:t>
      </w:r>
    </w:p>
    <w:p w14:paraId="2C69DC8F" w14:textId="6DB4F7CB" w:rsidR="002F35FC" w:rsidRDefault="002F35FC" w:rsidP="00476907">
      <w:pPr>
        <w:pStyle w:val="ListParagraph"/>
        <w:numPr>
          <w:ilvl w:val="0"/>
          <w:numId w:val="6"/>
        </w:numPr>
      </w:pPr>
      <w:r>
        <w:t>smart meter and solar feed-in tariff costs accounted for 16.8 per cent of the bill increase</w:t>
      </w:r>
    </w:p>
    <w:p w14:paraId="610E0393" w14:textId="27AC8B80" w:rsidR="002F35FC" w:rsidRDefault="002F35FC" w:rsidP="00476907">
      <w:pPr>
        <w:pStyle w:val="ListParagraph"/>
        <w:numPr>
          <w:ilvl w:val="0"/>
          <w:numId w:val="6"/>
        </w:numPr>
      </w:pPr>
      <w:r>
        <w:t>RET and VEET costs accounted for 20.6 per cent of the bill increase.</w:t>
      </w:r>
      <w:r>
        <w:rPr>
          <w:rStyle w:val="FootnoteReference"/>
        </w:rPr>
        <w:footnoteReference w:id="23"/>
      </w:r>
      <w:r>
        <w:t xml:space="preserve">  </w:t>
      </w:r>
    </w:p>
    <w:p w14:paraId="2E5761D3" w14:textId="1FE5228C" w:rsidR="00DA6FDF" w:rsidRDefault="00DA6FDF" w:rsidP="00AB2A7D">
      <w:r>
        <w:t>Oakley Greenwood acknowledge RETs and the VEET scheme have put downward pressure on wholesale electricit</w:t>
      </w:r>
      <w:r w:rsidR="00A71E59">
        <w:t>y prices</w:t>
      </w:r>
      <w:r>
        <w:t>, which is reflected in the wholesale electricity prices shown in their report.</w:t>
      </w:r>
      <w:r>
        <w:rPr>
          <w:rStyle w:val="FootnoteReference"/>
        </w:rPr>
        <w:footnoteReference w:id="24"/>
      </w:r>
      <w:r w:rsidR="00A71E59">
        <w:t xml:space="preserve"> However, it </w:t>
      </w:r>
      <w:r w:rsidR="00700EF7">
        <w:t xml:space="preserve">is </w:t>
      </w:r>
      <w:r w:rsidR="00A71E59">
        <w:t xml:space="preserve">unclear whether RETs, the VEET scheme and solar feed-in tariffs </w:t>
      </w:r>
      <w:r w:rsidR="00CE069B">
        <w:t>produce a</w:t>
      </w:r>
      <w:r w:rsidR="00B3634E">
        <w:t xml:space="preserve"> net cost reduction</w:t>
      </w:r>
      <w:r w:rsidR="00A71E59">
        <w:t xml:space="preserve">, or whether these policy costs exceed </w:t>
      </w:r>
      <w:r w:rsidR="00A84497">
        <w:t>benefit</w:t>
      </w:r>
      <w:r w:rsidR="007F1ACC">
        <w:t>s</w:t>
      </w:r>
      <w:r w:rsidR="005F2B93">
        <w:t xml:space="preserve"> such as lower wholesale prices</w:t>
      </w:r>
      <w:r w:rsidR="00A71E59">
        <w:t>.</w:t>
      </w:r>
      <w:r w:rsidR="00C6535B">
        <w:t xml:space="preserve"> It may be difficult to assess this at present</w:t>
      </w:r>
      <w:r w:rsidR="00BD5D71">
        <w:t>—</w:t>
      </w:r>
      <w:r w:rsidR="00700EF7">
        <w:t>policy costs may be largely incurred upfront while benefits accrue over time.</w:t>
      </w:r>
      <w:r w:rsidR="00700EF7">
        <w:rPr>
          <w:rStyle w:val="FootnoteReference"/>
        </w:rPr>
        <w:footnoteReference w:id="25"/>
      </w:r>
      <w:r w:rsidR="00700EF7">
        <w:t xml:space="preserve">  </w:t>
      </w:r>
      <w:r w:rsidR="00A71E59">
        <w:t xml:space="preserve">   </w:t>
      </w:r>
      <w:r w:rsidR="006C38C8">
        <w:t xml:space="preserve"> </w:t>
      </w:r>
      <w:r w:rsidR="003206BA">
        <w:t xml:space="preserve">  </w:t>
      </w:r>
    </w:p>
    <w:p w14:paraId="49302872" w14:textId="7C4AA96E" w:rsidR="00DC54CA" w:rsidRDefault="00DE4A66" w:rsidP="00AB2A7D">
      <w:r>
        <w:t>These policy measures also have non-price benefits</w:t>
      </w:r>
      <w:r w:rsidR="005F2B93">
        <w:t xml:space="preserve">. </w:t>
      </w:r>
      <w:r w:rsidR="003F323D">
        <w:t>RETs, the VEET scheme and solar feed-</w:t>
      </w:r>
      <w:r w:rsidR="005F2B93">
        <w:t xml:space="preserve">in tariffs </w:t>
      </w:r>
      <w:r w:rsidR="003F323D">
        <w:t xml:space="preserve">are </w:t>
      </w:r>
      <w:r w:rsidR="00700EF7">
        <w:t>primar</w:t>
      </w:r>
      <w:r w:rsidR="00CE069B">
        <w:t>ily aimed at</w:t>
      </w:r>
      <w:r w:rsidR="00186493">
        <w:t xml:space="preserve"> reducing demand for fossil </w:t>
      </w:r>
      <w:r w:rsidR="003F323D">
        <w:t>fuel</w:t>
      </w:r>
      <w:r w:rsidR="00186493">
        <w:t>-</w:t>
      </w:r>
      <w:r w:rsidR="003F323D">
        <w:t>based generatio</w:t>
      </w:r>
      <w:r w:rsidR="00186493">
        <w:t xml:space="preserve">n, encouraging greater renewable energy </w:t>
      </w:r>
      <w:r w:rsidR="003F323D">
        <w:t>generation</w:t>
      </w:r>
      <w:r w:rsidR="00271F0B">
        <w:t>,</w:t>
      </w:r>
      <w:r w:rsidR="003F323D">
        <w:t xml:space="preserve"> </w:t>
      </w:r>
      <w:r w:rsidR="00271F0B">
        <w:t>a</w:t>
      </w:r>
      <w:r w:rsidR="003F323D">
        <w:t>nd reducing emissions.</w:t>
      </w:r>
      <w:r w:rsidR="00D5681F">
        <w:t xml:space="preserve"> </w:t>
      </w:r>
      <w:r w:rsidR="00C6535B">
        <w:t>We note t</w:t>
      </w:r>
      <w:r w:rsidR="00D5681F">
        <w:t xml:space="preserve">he Essential Services Commission is legislatively obliged to consider the social and environmental value of distributed solar generation when setting the </w:t>
      </w:r>
      <w:r w:rsidR="001B5811">
        <w:t>Victorian solar feed-in tariff.</w:t>
      </w:r>
      <w:r w:rsidR="00C6535B">
        <w:rPr>
          <w:rStyle w:val="FootnoteReference"/>
        </w:rPr>
        <w:footnoteReference w:id="26"/>
      </w:r>
    </w:p>
    <w:p w14:paraId="64B9F39A" w14:textId="228EEED5" w:rsidR="00BD5D71" w:rsidRDefault="007C05F2" w:rsidP="00AB2A7D">
      <w:r w:rsidRPr="00B5153F">
        <w:t xml:space="preserve">Along with other </w:t>
      </w:r>
      <w:r w:rsidR="00B3634E" w:rsidRPr="00B5153F">
        <w:t>community organisations</w:t>
      </w:r>
      <w:r w:rsidRPr="00B5153F">
        <w:t>, VCOSS is</w:t>
      </w:r>
      <w:r w:rsidR="00B874ED" w:rsidRPr="00B5153F">
        <w:t xml:space="preserve"> separately</w:t>
      </w:r>
      <w:r w:rsidRPr="00B5153F">
        <w:t xml:space="preserve"> </w:t>
      </w:r>
      <w:r w:rsidR="004755A8" w:rsidRPr="00B5153F">
        <w:t>exploring</w:t>
      </w:r>
      <w:r w:rsidR="00B874ED" w:rsidRPr="00B5153F">
        <w:t xml:space="preserve"> policy options for equitable allocation of </w:t>
      </w:r>
      <w:r w:rsidR="00F96A60" w:rsidRPr="00B5153F">
        <w:t>environmental scheme costs</w:t>
      </w:r>
      <w:r w:rsidR="00B874ED" w:rsidRPr="00B5153F">
        <w:t xml:space="preserve">. </w:t>
      </w:r>
      <w:r w:rsidR="00D63F60" w:rsidRPr="00B5153F">
        <w:t>Although</w:t>
      </w:r>
      <w:r w:rsidR="001B5811">
        <w:t xml:space="preserve"> that</w:t>
      </w:r>
      <w:r w:rsidR="00BD5D71" w:rsidRPr="00B5153F">
        <w:t xml:space="preserve"> issue is beyond the ACCC’s remit,</w:t>
      </w:r>
      <w:r w:rsidR="00AF1ACD" w:rsidRPr="00B5153F">
        <w:t xml:space="preserve"> it is important to recognise</w:t>
      </w:r>
      <w:r w:rsidR="00BD5D71" w:rsidRPr="00B5153F">
        <w:t xml:space="preserve"> </w:t>
      </w:r>
      <w:r w:rsidR="00E660A3">
        <w:t xml:space="preserve">any </w:t>
      </w:r>
      <w:r w:rsidR="00BD5D71" w:rsidRPr="00B5153F">
        <w:t>disproportionate cost allocations between low income and more affluent househol</w:t>
      </w:r>
      <w:r w:rsidR="00E660A3">
        <w:t xml:space="preserve">ds in an </w:t>
      </w:r>
      <w:r w:rsidR="00BD5D71" w:rsidRPr="00B5153F">
        <w:t xml:space="preserve">analysis of </w:t>
      </w:r>
      <w:r w:rsidR="00C6535B" w:rsidRPr="00B5153F">
        <w:t xml:space="preserve">retail </w:t>
      </w:r>
      <w:r w:rsidR="00BD5D71" w:rsidRPr="00B5153F">
        <w:t>p</w:t>
      </w:r>
      <w:r w:rsidR="000E4D74">
        <w:t>rice increases and their causes</w:t>
      </w:r>
      <w:r w:rsidR="00BD5D71" w:rsidRPr="00B5153F">
        <w:t xml:space="preserve">. If </w:t>
      </w:r>
      <w:r w:rsidR="00B5153F">
        <w:t xml:space="preserve">environmental scheme </w:t>
      </w:r>
      <w:r w:rsidR="00E660A3">
        <w:t>costs are</w:t>
      </w:r>
      <w:r w:rsidR="00BD5D71" w:rsidRPr="00B5153F">
        <w:t xml:space="preserve"> inequitably al</w:t>
      </w:r>
      <w:r w:rsidR="00256E50">
        <w:t>located to people on low incomes</w:t>
      </w:r>
      <w:r w:rsidR="00BD5D71" w:rsidRPr="00B5153F">
        <w:t>, th</w:t>
      </w:r>
      <w:r w:rsidR="00AF1ACD" w:rsidRPr="00B5153F">
        <w:t>ey will bear a</w:t>
      </w:r>
      <w:r w:rsidR="00B5153F">
        <w:t>n</w:t>
      </w:r>
      <w:r w:rsidR="00AF1ACD" w:rsidRPr="00B5153F">
        <w:t xml:space="preserve"> </w:t>
      </w:r>
      <w:r w:rsidR="003C0AC3">
        <w:t>even greater price burden in future</w:t>
      </w:r>
      <w:r w:rsidR="00B5153F">
        <w:t xml:space="preserve"> as </w:t>
      </w:r>
      <w:r w:rsidR="00AF1ACD" w:rsidRPr="00B5153F">
        <w:t>the scale of household solar expands and RET costs potentially change.</w:t>
      </w:r>
    </w:p>
    <w:p w14:paraId="2EA87B6F" w14:textId="1AB055A7" w:rsidR="00AB2A7D" w:rsidRDefault="00AB2A7D" w:rsidP="00AB2A7D">
      <w:pPr>
        <w:pStyle w:val="Heading2"/>
      </w:pPr>
      <w:bookmarkStart w:id="8" w:name="_Toc487183903"/>
      <w:r>
        <w:t>Retail costs</w:t>
      </w:r>
      <w:bookmarkEnd w:id="8"/>
    </w:p>
    <w:p w14:paraId="2719A996" w14:textId="77777777" w:rsidR="00062374" w:rsidRDefault="00062374" w:rsidP="00062374">
      <w:pPr>
        <w:pStyle w:val="Boxheading"/>
      </w:pPr>
      <w:r>
        <w:t>Recommendation</w:t>
      </w:r>
    </w:p>
    <w:p w14:paraId="1E8B9538" w14:textId="77777777" w:rsidR="00062374" w:rsidRPr="007967F5" w:rsidRDefault="00062374" w:rsidP="00062374">
      <w:pPr>
        <w:pStyle w:val="Boxtext"/>
      </w:pPr>
      <w:r>
        <w:t>Examine the reasons for Victoria’s high retail costs, and whether low income households are disproportionately funding those costs via standing and non-discount market offers.</w:t>
      </w:r>
    </w:p>
    <w:p w14:paraId="78B6A09A" w14:textId="77777777" w:rsidR="00062374" w:rsidRDefault="00062374" w:rsidP="00CE5762"/>
    <w:p w14:paraId="017D80E4" w14:textId="606D1514" w:rsidR="008F16FA" w:rsidRDefault="009B14CB" w:rsidP="00CE5762">
      <w:r>
        <w:t>The available data suggest</w:t>
      </w:r>
      <w:r w:rsidR="001B5811">
        <w:t>s</w:t>
      </w:r>
      <w:r>
        <w:t xml:space="preserve"> retail costs (along with environmental scheme costs) have been the majo</w:t>
      </w:r>
      <w:r w:rsidR="000E4D74">
        <w:t>r cause of Victorian electricity price increases</w:t>
      </w:r>
      <w:r>
        <w:t xml:space="preserve"> over the past dec</w:t>
      </w:r>
      <w:r w:rsidR="00E660A3">
        <w:t>ade. Between</w:t>
      </w:r>
      <w:r>
        <w:t xml:space="preserve"> 2008 and 2016, retail costs were</w:t>
      </w:r>
      <w:r w:rsidR="00E660A3">
        <w:t xml:space="preserve"> estimated to be</w:t>
      </w:r>
      <w:r>
        <w:t xml:space="preserve"> the second largest contributor to price increases (after government policy/environmental scheme costs). </w:t>
      </w:r>
      <w:r w:rsidR="00A34AE8">
        <w:t>Between 2008 and</w:t>
      </w:r>
      <w:r>
        <w:t xml:space="preserve"> 2017 the contribution of </w:t>
      </w:r>
      <w:r w:rsidR="009F36E9">
        <w:t>retail costs was less</w:t>
      </w:r>
      <w:r>
        <w:t>, which appears to reflect</w:t>
      </w:r>
      <w:r w:rsidR="00985EF1">
        <w:t xml:space="preserve"> the greater contribution of wholesale costs to the most recent electricity price increases</w:t>
      </w:r>
      <w:r>
        <w:t>.</w:t>
      </w:r>
      <w:r>
        <w:rPr>
          <w:rStyle w:val="FootnoteReference"/>
        </w:rPr>
        <w:footnoteReference w:id="27"/>
      </w:r>
    </w:p>
    <w:p w14:paraId="221E55C8" w14:textId="3517D97F" w:rsidR="00A34AE8" w:rsidRDefault="00985EF1" w:rsidP="00CE5762">
      <w:r>
        <w:t xml:space="preserve">Retail costs are high in Victoria compared to other states and territories. </w:t>
      </w:r>
      <w:r w:rsidR="006900FE">
        <w:t>As a proportion, retail costs comprised 37 to 44 per cent of standing offer bills in Victoria in 2016</w:t>
      </w:r>
      <w:r>
        <w:t>, and</w:t>
      </w:r>
      <w:r w:rsidR="006900FE">
        <w:t xml:space="preserve"> 21 to 29 per cent of market offer bills</w:t>
      </w:r>
      <w:r>
        <w:t>—</w:t>
      </w:r>
      <w:r w:rsidR="006900FE">
        <w:t>some of the highest retail components in the NEM.</w:t>
      </w:r>
      <w:r>
        <w:rPr>
          <w:rStyle w:val="FootnoteReference"/>
        </w:rPr>
        <w:footnoteReference w:id="28"/>
      </w:r>
      <w:r w:rsidR="00ED6DD0">
        <w:t xml:space="preserve"> </w:t>
      </w:r>
      <w:r w:rsidR="009B14CB">
        <w:t>As at February 2016, V</w:t>
      </w:r>
      <w:r w:rsidR="004B4A38">
        <w:t xml:space="preserve">ictoria had the highest </w:t>
      </w:r>
      <w:r w:rsidR="009B14CB">
        <w:t>retail costs among NEM jurisdictions with deregulated electricity markets</w:t>
      </w:r>
      <w:r w:rsidR="001B5811">
        <w:t>, as Figure</w:t>
      </w:r>
      <w:r w:rsidR="00ED6DD0">
        <w:t xml:space="preserve"> 1 below shows.</w:t>
      </w:r>
    </w:p>
    <w:p w14:paraId="15B05C9C" w14:textId="1ADCF240" w:rsidR="009B14CB" w:rsidRDefault="00A34AE8" w:rsidP="00BF55D4">
      <w:pPr>
        <w:pStyle w:val="Heading4"/>
      </w:pPr>
      <w:r>
        <w:t xml:space="preserve">Figure </w:t>
      </w:r>
      <w:r w:rsidR="00ED6DD0">
        <w:t>1</w:t>
      </w:r>
      <w:r>
        <w:t xml:space="preserve">: </w:t>
      </w:r>
      <w:r w:rsidRPr="00BF55D4">
        <w:t>Estimated average annual retail component for customers that stay with retailer for 24 months, based on annual bill for new customer as of February 2016, 6,000 kWh per annum, single rate, GST excluded</w:t>
      </w:r>
    </w:p>
    <w:p w14:paraId="408F5E7F" w14:textId="00ACABFC" w:rsidR="00A34AE8" w:rsidRDefault="00A34AE8" w:rsidP="00CE5762">
      <w:r w:rsidRPr="008F4A43">
        <w:rPr>
          <w:rFonts w:asciiTheme="majorHAnsi" w:hAnsiTheme="majorHAnsi"/>
          <w:noProof/>
          <w:lang w:val="en-AU" w:eastAsia="en-AU"/>
        </w:rPr>
        <w:drawing>
          <wp:inline distT="0" distB="0" distL="0" distR="0" wp14:anchorId="7B4E9592" wp14:editId="10CCF6A2">
            <wp:extent cx="4572000" cy="2743200"/>
            <wp:effectExtent l="25400" t="25400" r="0" b="0"/>
            <wp:docPr id="36" name="C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6597C6" w14:textId="5923183D" w:rsidR="00A34AE8" w:rsidRPr="00677979" w:rsidRDefault="009F36E9" w:rsidP="00CE5762">
      <w:pPr>
        <w:rPr>
          <w:sz w:val="20"/>
        </w:rPr>
      </w:pPr>
      <w:r w:rsidRPr="00677979">
        <w:rPr>
          <w:i/>
          <w:sz w:val="20"/>
        </w:rPr>
        <w:t>Source: St Vincent de Paul</w:t>
      </w:r>
      <w:r w:rsidR="002A3389">
        <w:rPr>
          <w:i/>
          <w:sz w:val="20"/>
        </w:rPr>
        <w:t xml:space="preserve"> Society and Alviss </w:t>
      </w:r>
      <w:r w:rsidR="002A3389" w:rsidRPr="001B5811">
        <w:rPr>
          <w:i/>
          <w:sz w:val="20"/>
        </w:rPr>
        <w:t>Consulting</w:t>
      </w:r>
      <w:r w:rsidR="002A3389" w:rsidRPr="001B5811">
        <w:rPr>
          <w:rStyle w:val="FootnoteReference"/>
          <w:i/>
          <w:sz w:val="20"/>
        </w:rPr>
        <w:footnoteReference w:id="29"/>
      </w:r>
    </w:p>
    <w:p w14:paraId="306D7048" w14:textId="6188F899" w:rsidR="009B14CB" w:rsidRDefault="001B5811" w:rsidP="00CE5762">
      <w:r>
        <w:t>As St Vincent de Paul Society</w:t>
      </w:r>
      <w:r w:rsidR="00753584">
        <w:t xml:space="preserve"> comments:</w:t>
      </w:r>
    </w:p>
    <w:p w14:paraId="7CFEF09D" w14:textId="1EFECF69" w:rsidR="00BA7287" w:rsidRPr="00A34AE8" w:rsidRDefault="00A34AE8" w:rsidP="00A34AE8">
      <w:pPr>
        <w:ind w:left="567" w:right="418"/>
        <w:rPr>
          <w:sz w:val="20"/>
        </w:rPr>
      </w:pPr>
      <w:r w:rsidRPr="00A34AE8">
        <w:rPr>
          <w:sz w:val="20"/>
        </w:rPr>
        <w:t>In Victoria, the jurisdiction with the most active retailers, the retail proportion of bills is significantly greater than in other jurisdictions. While all markets with rivalling suppliers may be called competitive, these charts alone clearly warrant some questions about what is going on in Victoria.</w:t>
      </w:r>
      <w:r>
        <w:rPr>
          <w:rStyle w:val="FootnoteReference"/>
          <w:sz w:val="20"/>
        </w:rPr>
        <w:footnoteReference w:id="30"/>
      </w:r>
    </w:p>
    <w:p w14:paraId="26250E3C" w14:textId="5FCB2897" w:rsidR="00707ECE" w:rsidRPr="00DA5A4D" w:rsidRDefault="00282A96" w:rsidP="005B3613">
      <w:pPr>
        <w:rPr>
          <w:sz w:val="20"/>
        </w:rPr>
      </w:pPr>
      <w:r>
        <w:t>It is not clear why retail costs are higher in Victoria than oth</w:t>
      </w:r>
      <w:r w:rsidR="00814BF9">
        <w:t>er states</w:t>
      </w:r>
      <w:r w:rsidR="00475887">
        <w:t xml:space="preserve"> and territories</w:t>
      </w:r>
      <w:r w:rsidR="00814BF9">
        <w:t xml:space="preserve">. </w:t>
      </w:r>
      <w:r w:rsidR="0047570B">
        <w:t>One</w:t>
      </w:r>
      <w:r w:rsidR="00985EF1">
        <w:t xml:space="preserve"> explanation</w:t>
      </w:r>
      <w:r w:rsidR="00475887">
        <w:t xml:space="preserve"> is </w:t>
      </w:r>
      <w:r w:rsidR="00814BF9">
        <w:t>because Victoria is the least concentrated electricity market,</w:t>
      </w:r>
      <w:r w:rsidR="00E77A3F">
        <w:t xml:space="preserve"> competition costs</w:t>
      </w:r>
      <w:r w:rsidR="00814BF9">
        <w:t xml:space="preserve"> are higher, including customer and acquisition retention costs. </w:t>
      </w:r>
      <w:r w:rsidR="00985EF1">
        <w:t xml:space="preserve">Also, </w:t>
      </w:r>
      <w:r w:rsidR="00814BF9">
        <w:t xml:space="preserve">in a market with many electricity retailers there </w:t>
      </w:r>
      <w:r w:rsidR="00985EF1">
        <w:t>are</w:t>
      </w:r>
      <w:r w:rsidR="00814BF9">
        <w:t xml:space="preserve"> reduced economics of scale and cost savings in areas such as customer service and billing.</w:t>
      </w:r>
      <w:r w:rsidR="00814BF9">
        <w:rPr>
          <w:rStyle w:val="FootnoteReference"/>
        </w:rPr>
        <w:footnoteReference w:id="31"/>
      </w:r>
      <w:r w:rsidR="00DA5A4D">
        <w:t xml:space="preserve"> The Grattan Institute found retail electricity marketing costs are substantial, estimating Victoria’s residential electricity customers are collectively paying about $120 million a year to ‘cover the costs of retailers shuffling (or trying to prevent the shuffling of) households around the electricity market’.</w:t>
      </w:r>
      <w:r w:rsidR="00814BF9">
        <w:rPr>
          <w:rStyle w:val="FootnoteReference"/>
          <w:sz w:val="20"/>
        </w:rPr>
        <w:footnoteReference w:id="32"/>
      </w:r>
      <w:r w:rsidR="00DA5A4D">
        <w:rPr>
          <w:sz w:val="20"/>
        </w:rPr>
        <w:t xml:space="preserve"> </w:t>
      </w:r>
      <w:r w:rsidR="005B3613">
        <w:t>It is uncle</w:t>
      </w:r>
      <w:r w:rsidR="002606E8">
        <w:t>ar whether marketing</w:t>
      </w:r>
      <w:r w:rsidR="005B3613">
        <w:t xml:space="preserve"> and other competition costs produce a net benefit for people in the </w:t>
      </w:r>
      <w:r w:rsidR="00C11890">
        <w:t xml:space="preserve">form of lower prices and/or greater innovation in retail product offerings (to the extent this is possible in a market for a homogeneous good).  </w:t>
      </w:r>
    </w:p>
    <w:p w14:paraId="3455E24A" w14:textId="36D37E3F" w:rsidR="005B3613" w:rsidRDefault="00322750" w:rsidP="005B3613">
      <w:pPr>
        <w:pStyle w:val="Heading3"/>
      </w:pPr>
      <w:bookmarkStart w:id="9" w:name="_Toc487183581"/>
      <w:bookmarkStart w:id="10" w:name="_Toc487183904"/>
      <w:r>
        <w:t>Pe</w:t>
      </w:r>
      <w:r w:rsidR="002606E8">
        <w:t>ople on low incomes</w:t>
      </w:r>
      <w:r w:rsidR="005B3613">
        <w:t xml:space="preserve"> </w:t>
      </w:r>
      <w:r>
        <w:t xml:space="preserve">are </w:t>
      </w:r>
      <w:r w:rsidR="002606E8">
        <w:t>more likely to bear the brunt of</w:t>
      </w:r>
      <w:r w:rsidR="005B3613">
        <w:t xml:space="preserve"> retail costs</w:t>
      </w:r>
      <w:bookmarkEnd w:id="9"/>
      <w:bookmarkEnd w:id="10"/>
    </w:p>
    <w:p w14:paraId="5ED68DCC" w14:textId="22734D7B" w:rsidR="00033B13" w:rsidRDefault="00033B13" w:rsidP="00033B13">
      <w:r>
        <w:t xml:space="preserve">VCOSS is concerned people on low incomes are more likely to be paying a greater share of their bill towards retailer revenue than other households. This is because we anticipate </w:t>
      </w:r>
      <w:r w:rsidR="00E80EAB">
        <w:t>low income households are more likely than</w:t>
      </w:r>
      <w:r>
        <w:t xml:space="preserve"> other households to be on </w:t>
      </w:r>
      <w:r w:rsidR="00E80EAB">
        <w:t>standing offers and market offer</w:t>
      </w:r>
      <w:r w:rsidR="00315CEC">
        <w:t xml:space="preserve">s without pay-on-time discounts (due to entrenched barriers to switching among low income and vulnerable households, such as language barriers, major health issues, family violence, or chaotic living circumstances, or because low or irregular incomes prevent people taking up or complying with cheaper pay-on-time discount market offers). </w:t>
      </w:r>
      <w:r>
        <w:t xml:space="preserve">People on </w:t>
      </w:r>
      <w:r w:rsidR="00315CEC">
        <w:t xml:space="preserve">standing offers and non-discount market </w:t>
      </w:r>
      <w:r>
        <w:t xml:space="preserve">offers pay the most towards retailer revenue as a proportion of their bill, as Figure 2 below shows. </w:t>
      </w:r>
    </w:p>
    <w:p w14:paraId="5AC358B5" w14:textId="77777777" w:rsidR="00FA7B5E" w:rsidRDefault="00FA7B5E" w:rsidP="00033B13"/>
    <w:p w14:paraId="680AC1F2" w14:textId="77777777" w:rsidR="00033B13" w:rsidRDefault="00033B13" w:rsidP="00033B13">
      <w:pPr>
        <w:pStyle w:val="Heading4"/>
      </w:pPr>
      <w:r>
        <w:t>Figure 2: Retail component ($) of annual bills as of January 2017 for Victorian electricity standing offers, market offers and solar offers, 4,800 kWh per annum, single rate</w:t>
      </w:r>
    </w:p>
    <w:p w14:paraId="3AFB897F" w14:textId="431A42C3" w:rsidR="00033B13" w:rsidRDefault="00033B13" w:rsidP="00E80EAB">
      <w:r w:rsidRPr="00BF6AA3">
        <w:rPr>
          <w:noProof/>
          <w:lang w:val="en-AU" w:eastAsia="en-AU"/>
        </w:rPr>
        <w:drawing>
          <wp:inline distT="0" distB="0" distL="0" distR="0" wp14:anchorId="61800FC0" wp14:editId="0B7B28F6">
            <wp:extent cx="6116320" cy="35020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320" cy="3502025"/>
                    </a:xfrm>
                    <a:prstGeom prst="rect">
                      <a:avLst/>
                    </a:prstGeom>
                    <a:noFill/>
                    <a:ln>
                      <a:noFill/>
                    </a:ln>
                  </pic:spPr>
                </pic:pic>
              </a:graphicData>
            </a:graphic>
          </wp:inline>
        </w:drawing>
      </w:r>
    </w:p>
    <w:p w14:paraId="269CD5AD" w14:textId="16B2AF21" w:rsidR="009E5888" w:rsidRPr="009E5888" w:rsidRDefault="009E5888" w:rsidP="00033B13">
      <w:r w:rsidRPr="00677979">
        <w:rPr>
          <w:i/>
          <w:sz w:val="20"/>
        </w:rPr>
        <w:t>Source: St Vincent de Paul</w:t>
      </w:r>
      <w:r>
        <w:rPr>
          <w:i/>
          <w:sz w:val="20"/>
        </w:rPr>
        <w:t xml:space="preserve"> Society and Alviss </w:t>
      </w:r>
      <w:r w:rsidRPr="001B5811">
        <w:rPr>
          <w:i/>
          <w:sz w:val="20"/>
        </w:rPr>
        <w:t>Consulting</w:t>
      </w:r>
      <w:r w:rsidRPr="001B5811">
        <w:rPr>
          <w:rStyle w:val="FootnoteReference"/>
          <w:i/>
          <w:sz w:val="20"/>
        </w:rPr>
        <w:footnoteReference w:id="33"/>
      </w:r>
    </w:p>
    <w:p w14:paraId="300F27DB" w14:textId="0B82D2E4" w:rsidR="00033B13" w:rsidRDefault="00033B13" w:rsidP="00033B13">
      <w:r>
        <w:t>Figure 2 reveals retail costs are the highest for standing and non-discount market offers, ranging from just under $600 to almost $700 per year. The retail component is significantly less for solar customers on non-discount market offers, followed by ‘general’ pay-on-time discount market offers available to all customers.</w:t>
      </w:r>
      <w:r w:rsidR="001F6FF3">
        <w:t xml:space="preserve"> Solar customers on pay-on-time discount offers contribute the lowest share to retailer revenue, as a proportion of their bills.</w:t>
      </w:r>
    </w:p>
    <w:p w14:paraId="08381F89" w14:textId="62070D81" w:rsidR="001642A2" w:rsidRDefault="007967F5" w:rsidP="00CE5762">
      <w:r>
        <w:t xml:space="preserve">Based on the available data, we suggest the ACCC’s examination of Victorian retail prices should particularly focus on its uniquely high retail costs, including whether the nature and structure of Victoria’s competitive retail market is a factor in those costs, and whether low income households are </w:t>
      </w:r>
      <w:r w:rsidR="00315CEC">
        <w:t xml:space="preserve">disproportionately funding those costs via standing and </w:t>
      </w:r>
      <w:r>
        <w:t xml:space="preserve">non-discount market offers. </w:t>
      </w:r>
    </w:p>
    <w:p w14:paraId="35CB36CA" w14:textId="39D9143A" w:rsidR="006679FE" w:rsidRDefault="00322750" w:rsidP="00BD5F14">
      <w:pPr>
        <w:pStyle w:val="Heading2"/>
      </w:pPr>
      <w:bookmarkStart w:id="11" w:name="_Toc487183905"/>
      <w:r>
        <w:t xml:space="preserve">Lack </w:t>
      </w:r>
      <w:r w:rsidR="0021302B">
        <w:t>of pricing</w:t>
      </w:r>
      <w:r>
        <w:t xml:space="preserve"> and cost transparency</w:t>
      </w:r>
      <w:bookmarkEnd w:id="11"/>
    </w:p>
    <w:p w14:paraId="1F12409B" w14:textId="77777777" w:rsidR="00062374" w:rsidRPr="00DF43BD" w:rsidRDefault="00062374" w:rsidP="00062374">
      <w:pPr>
        <w:pStyle w:val="Boxheading"/>
      </w:pPr>
      <w:r w:rsidRPr="00DF43BD">
        <w:t>Recommendation</w:t>
      </w:r>
    </w:p>
    <w:p w14:paraId="1A45301C" w14:textId="77777777" w:rsidR="00062374" w:rsidRPr="001701DE" w:rsidRDefault="00062374" w:rsidP="00062374">
      <w:pPr>
        <w:pStyle w:val="Boxheading"/>
        <w:rPr>
          <w:b w:val="0"/>
        </w:rPr>
      </w:pPr>
      <w:r>
        <w:rPr>
          <w:b w:val="0"/>
        </w:rPr>
        <w:t>Establish data collection requirements in relation to the cost components of retail electricity pricing, the causes of price changes, and customer outcomes in retail electricity markets on an ongoing basis.</w:t>
      </w:r>
    </w:p>
    <w:p w14:paraId="6909EE21" w14:textId="77777777" w:rsidR="00062374" w:rsidRDefault="00062374" w:rsidP="00BD5F14"/>
    <w:p w14:paraId="786B838B" w14:textId="0B29E835" w:rsidR="00110E53" w:rsidRDefault="00395056" w:rsidP="00BD5F14">
      <w:r>
        <w:t xml:space="preserve">Like many </w:t>
      </w:r>
      <w:r w:rsidR="005706FB">
        <w:t xml:space="preserve">community sector </w:t>
      </w:r>
      <w:r>
        <w:t xml:space="preserve">organisations, VCOSS struggles to precisely identify the </w:t>
      </w:r>
      <w:r w:rsidR="000E4D74">
        <w:t>causes</w:t>
      </w:r>
      <w:r>
        <w:t xml:space="preserve"> of electricity price increases. </w:t>
      </w:r>
      <w:r w:rsidR="00BB678F">
        <w:t>There</w:t>
      </w:r>
      <w:r>
        <w:t xml:space="preserve"> is very little publically available information about retailer costs and margins or how much t</w:t>
      </w:r>
      <w:r w:rsidR="00BB678F">
        <w:t>hey contribute to retail prices, as the Finkel review observed.</w:t>
      </w:r>
      <w:r>
        <w:rPr>
          <w:rStyle w:val="FootnoteReference"/>
        </w:rPr>
        <w:footnoteReference w:id="34"/>
      </w:r>
      <w:r>
        <w:t xml:space="preserve"> </w:t>
      </w:r>
    </w:p>
    <w:p w14:paraId="6F4CF64E" w14:textId="6E052B66" w:rsidR="005706FB" w:rsidRDefault="00395056" w:rsidP="00BD5F14">
      <w:r>
        <w:t>We are confident the ACCC inquiry will go a long way tow</w:t>
      </w:r>
      <w:r w:rsidR="00110E53">
        <w:t>ard</w:t>
      </w:r>
      <w:r w:rsidR="002606E8">
        <w:t xml:space="preserve">s identifying </w:t>
      </w:r>
      <w:r w:rsidR="000E4D74">
        <w:t>the causes of price changes</w:t>
      </w:r>
      <w:r w:rsidR="007967F5">
        <w:t>, but note price</w:t>
      </w:r>
      <w:r w:rsidR="00A3125D">
        <w:t xml:space="preserve"> changes and their causes</w:t>
      </w:r>
      <w:r w:rsidR="007967F5">
        <w:t xml:space="preserve"> could</w:t>
      </w:r>
      <w:r>
        <w:t xml:space="preserve"> </w:t>
      </w:r>
      <w:r w:rsidR="005706FB">
        <w:t>be more easily identified and tracked in future if the ACCC (along with other energy regulators) establishe</w:t>
      </w:r>
      <w:r w:rsidR="00110E53">
        <w:t>s</w:t>
      </w:r>
      <w:r w:rsidR="00DF43BD">
        <w:t xml:space="preserve"> more</w:t>
      </w:r>
      <w:r w:rsidR="00110E53">
        <w:t xml:space="preserve"> </w:t>
      </w:r>
      <w:r w:rsidR="005706FB">
        <w:t>extensive, consistent</w:t>
      </w:r>
      <w:r w:rsidR="00BB678F">
        <w:t xml:space="preserve"> data collection requirements, including in relation to:</w:t>
      </w:r>
    </w:p>
    <w:p w14:paraId="0C80F0DC" w14:textId="2DF67C5C" w:rsidR="000E4D74" w:rsidRDefault="000E4D74" w:rsidP="00476907">
      <w:pPr>
        <w:pStyle w:val="ListParagraph"/>
        <w:numPr>
          <w:ilvl w:val="0"/>
          <w:numId w:val="7"/>
        </w:numPr>
      </w:pPr>
      <w:r>
        <w:t>retail price changes, covering both standard offers and market offers</w:t>
      </w:r>
    </w:p>
    <w:p w14:paraId="7A6FCC58" w14:textId="520A027B" w:rsidR="009C31C0" w:rsidRDefault="005706FB" w:rsidP="00476907">
      <w:pPr>
        <w:pStyle w:val="ListParagraph"/>
        <w:numPr>
          <w:ilvl w:val="0"/>
          <w:numId w:val="7"/>
        </w:numPr>
      </w:pPr>
      <w:r>
        <w:t>long-term trends in wholesale, network, environmental scheme and retail costs</w:t>
      </w:r>
    </w:p>
    <w:p w14:paraId="4B1664DA" w14:textId="73544DCB" w:rsidR="005706FB" w:rsidRDefault="005706FB" w:rsidP="00476907">
      <w:pPr>
        <w:pStyle w:val="ListParagraph"/>
        <w:numPr>
          <w:ilvl w:val="0"/>
          <w:numId w:val="7"/>
        </w:numPr>
      </w:pPr>
      <w:r>
        <w:t>the composition of retailer costs, including the ‘costs of competition’ such as customer acquisition and retention</w:t>
      </w:r>
    </w:p>
    <w:p w14:paraId="4B255C57" w14:textId="2806C0F5" w:rsidR="005706FB" w:rsidRDefault="005706FB" w:rsidP="00476907">
      <w:pPr>
        <w:pStyle w:val="ListParagraph"/>
        <w:numPr>
          <w:ilvl w:val="0"/>
          <w:numId w:val="7"/>
        </w:numPr>
      </w:pPr>
      <w:r>
        <w:t>the proportion of customers on each type of offer, including discount and non-discount market offers</w:t>
      </w:r>
    </w:p>
    <w:p w14:paraId="426B436F" w14:textId="637A081C" w:rsidR="005706FB" w:rsidRDefault="005706FB" w:rsidP="00476907">
      <w:pPr>
        <w:pStyle w:val="ListParagraph"/>
        <w:numPr>
          <w:ilvl w:val="0"/>
          <w:numId w:val="7"/>
        </w:numPr>
      </w:pPr>
      <w:proofErr w:type="gramStart"/>
      <w:r>
        <w:t>demographic</w:t>
      </w:r>
      <w:proofErr w:type="gramEnd"/>
      <w:r>
        <w:t xml:space="preserve"> features of customers on each type of offer, including concession status.</w:t>
      </w:r>
    </w:p>
    <w:p w14:paraId="1A17C8EE" w14:textId="3097904C" w:rsidR="00732C2E" w:rsidRDefault="00732C2E" w:rsidP="00732C2E">
      <w:r>
        <w:t>In the absence of comprehensive</w:t>
      </w:r>
      <w:r w:rsidR="000E4D74">
        <w:t xml:space="preserve"> data about the causes of retail price changes</w:t>
      </w:r>
      <w:r>
        <w:t xml:space="preserve"> and customer outcomes, it is difficult to develop policy that</w:t>
      </w:r>
      <w:r w:rsidR="0021302B">
        <w:t xml:space="preserve"> directly</w:t>
      </w:r>
      <w:r>
        <w:t xml:space="preserve"> </w:t>
      </w:r>
      <w:r w:rsidR="0021302B">
        <w:t xml:space="preserve">addresses the </w:t>
      </w:r>
      <w:r>
        <w:t>reasons for unsustaina</w:t>
      </w:r>
      <w:r w:rsidR="00F6664C">
        <w:t>ble price increases</w:t>
      </w:r>
      <w:r>
        <w:t xml:space="preserve"> and unfair customer outcomes.  </w:t>
      </w:r>
    </w:p>
    <w:p w14:paraId="2CEE9CC6" w14:textId="562C3239" w:rsidR="00322750" w:rsidRDefault="00322750">
      <w:pPr>
        <w:spacing w:before="200"/>
      </w:pPr>
      <w:r>
        <w:br w:type="page"/>
      </w:r>
    </w:p>
    <w:p w14:paraId="70AE925F" w14:textId="306F9824" w:rsidR="00952993" w:rsidRDefault="00952993" w:rsidP="00952993">
      <w:pPr>
        <w:pStyle w:val="Heading1"/>
      </w:pPr>
      <w:bookmarkStart w:id="12" w:name="_Toc487183906"/>
      <w:r>
        <w:t>Confusing</w:t>
      </w:r>
      <w:r w:rsidR="00CD430D">
        <w:t xml:space="preserve">, unclear </w:t>
      </w:r>
      <w:r w:rsidR="0078361E">
        <w:t>pricing</w:t>
      </w:r>
      <w:bookmarkEnd w:id="12"/>
    </w:p>
    <w:p w14:paraId="3F362061" w14:textId="780CE8DB" w:rsidR="00C13565" w:rsidRDefault="00492027" w:rsidP="00CE5762">
      <w:r>
        <w:t>Pricing in the Victorian retail electricity market is not transpar</w:t>
      </w:r>
      <w:r w:rsidR="007C31F1">
        <w:t xml:space="preserve">ent, </w:t>
      </w:r>
      <w:r w:rsidR="00E30C13">
        <w:t xml:space="preserve">hindering </w:t>
      </w:r>
      <w:r w:rsidR="00FC4BF9">
        <w:t>competition</w:t>
      </w:r>
      <w:r w:rsidR="00E30C13">
        <w:t>.</w:t>
      </w:r>
      <w:r w:rsidR="00E11A9D">
        <w:t xml:space="preserve"> </w:t>
      </w:r>
      <w:r w:rsidR="00C13565">
        <w:t xml:space="preserve">VCOSS asks the ACCC to consider how electricity price representations can be made more transparent and comparable, including through a comparison rate model. </w:t>
      </w:r>
    </w:p>
    <w:p w14:paraId="7944856C" w14:textId="246B6E19" w:rsidR="00C13565" w:rsidRDefault="00C13565" w:rsidP="00CE5762">
      <w:r>
        <w:t>Energy pr</w:t>
      </w:r>
      <w:r w:rsidR="00025381">
        <w:t>icing is also obfuscated by</w:t>
      </w:r>
      <w:r>
        <w:t xml:space="preserve"> the widespread use of ‘benefit periods’ in Victoria, which are distinct from the contract period and generally only last around 12 or 24 months. We ask the ACCC to consider whether ‘benefit periods’ might constitute unfair contract terms or misleading or deceptive conduct. </w:t>
      </w:r>
    </w:p>
    <w:p w14:paraId="78A1B122" w14:textId="767E3A14" w:rsidR="00C13565" w:rsidRDefault="00C13565" w:rsidP="00CE5762">
      <w:r>
        <w:t xml:space="preserve">VCOSS is also concerned about the lack of transparency </w:t>
      </w:r>
      <w:r w:rsidR="00E20F93">
        <w:t xml:space="preserve">in </w:t>
      </w:r>
      <w:r>
        <w:t>the composition of the fixed charge,</w:t>
      </w:r>
      <w:r w:rsidR="00E20F93">
        <w:t xml:space="preserve"> with retail costs</w:t>
      </w:r>
      <w:r w:rsidR="00BF6C7D">
        <w:t xml:space="preserve"> sometimes</w:t>
      </w:r>
      <w:r w:rsidR="00E20F93">
        <w:t xml:space="preserve"> making up a large proportion of the fixed charge in Victoria.</w:t>
      </w:r>
      <w:r>
        <w:t xml:space="preserve"> </w:t>
      </w:r>
      <w:r w:rsidR="00E20F93">
        <w:t>R</w:t>
      </w:r>
      <w:r>
        <w:t>etail costs are potentially shielded from competition when they are hidden in the fixed charge.</w:t>
      </w:r>
    </w:p>
    <w:p w14:paraId="3CFC3AC9" w14:textId="2230A4FC" w:rsidR="00E11A9D" w:rsidRDefault="00C13565" w:rsidP="00C13565">
      <w:pPr>
        <w:pStyle w:val="Heading2"/>
      </w:pPr>
      <w:bookmarkStart w:id="13" w:name="_Toc487183907"/>
      <w:r>
        <w:t>Pricing representations in Victoria</w:t>
      </w:r>
      <w:bookmarkEnd w:id="13"/>
      <w:r>
        <w:t xml:space="preserve">     </w:t>
      </w:r>
    </w:p>
    <w:p w14:paraId="7434DECF" w14:textId="77777777" w:rsidR="00062374" w:rsidRPr="003B583C" w:rsidRDefault="00062374" w:rsidP="00062374">
      <w:pPr>
        <w:pStyle w:val="Boxheading"/>
      </w:pPr>
      <w:r w:rsidRPr="003B583C">
        <w:t>Recommendation</w:t>
      </w:r>
    </w:p>
    <w:p w14:paraId="2B54A350" w14:textId="77777777" w:rsidR="00062374" w:rsidRPr="00E30C13" w:rsidRDefault="00062374" w:rsidP="00062374">
      <w:pPr>
        <w:pStyle w:val="Boxtext"/>
      </w:pPr>
      <w:r w:rsidRPr="003B583C">
        <w:t>Consider</w:t>
      </w:r>
      <w:r>
        <w:t xml:space="preserve"> how electricity price representations can be made more transparent and comparable, including through a comparison rate model.</w:t>
      </w:r>
    </w:p>
    <w:p w14:paraId="3D015F6D" w14:textId="77777777" w:rsidR="00062374" w:rsidRDefault="00062374" w:rsidP="00CE5762"/>
    <w:p w14:paraId="3ECB0D10" w14:textId="486B84CE" w:rsidR="008E390F" w:rsidRDefault="00E54CB5" w:rsidP="00CE5762">
      <w:r>
        <w:t>The</w:t>
      </w:r>
      <w:r w:rsidR="008E390F">
        <w:t xml:space="preserve"> majority (around 90 per cent) of Victorian electricity customers are</w:t>
      </w:r>
      <w:r w:rsidR="0031092D">
        <w:t xml:space="preserve"> estimated to be</w:t>
      </w:r>
      <w:r w:rsidR="008E390F">
        <w:t xml:space="preserve"> on market offers. </w:t>
      </w:r>
      <w:r w:rsidR="00A33C79">
        <w:t>The ESC estimates that o</w:t>
      </w:r>
      <w:r w:rsidR="008E390F">
        <w:t>f the market offers:</w:t>
      </w:r>
    </w:p>
    <w:p w14:paraId="67F3C163" w14:textId="263F241F" w:rsidR="008E390F" w:rsidRDefault="001223CA" w:rsidP="00476907">
      <w:pPr>
        <w:pStyle w:val="ListParagraph"/>
        <w:numPr>
          <w:ilvl w:val="0"/>
          <w:numId w:val="8"/>
        </w:numPr>
      </w:pPr>
      <w:r>
        <w:t xml:space="preserve">56 </w:t>
      </w:r>
      <w:r w:rsidR="00315CEC">
        <w:t xml:space="preserve">per cent </w:t>
      </w:r>
      <w:r>
        <w:t>are</w:t>
      </w:r>
      <w:r w:rsidR="00A33C79">
        <w:t xml:space="preserve"> conditional discount offers,</w:t>
      </w:r>
      <w:r>
        <w:t xml:space="preserve"> which</w:t>
      </w:r>
      <w:r w:rsidR="00A33C79">
        <w:t xml:space="preserve"> generally require people to pay on time to re</w:t>
      </w:r>
      <w:r>
        <w:t>ceive the discount</w:t>
      </w:r>
    </w:p>
    <w:p w14:paraId="15B70B62" w14:textId="68B0F4C4" w:rsidR="00A33C79" w:rsidRDefault="00A33C79" w:rsidP="00476907">
      <w:pPr>
        <w:pStyle w:val="ListParagraph"/>
        <w:numPr>
          <w:ilvl w:val="0"/>
          <w:numId w:val="8"/>
        </w:numPr>
      </w:pPr>
      <w:r>
        <w:t xml:space="preserve">26 per cent are online offers, which may also include discounts </w:t>
      </w:r>
    </w:p>
    <w:p w14:paraId="63F640AF" w14:textId="1A0926CB" w:rsidR="00A33C79" w:rsidRDefault="00A33C79" w:rsidP="00476907">
      <w:pPr>
        <w:pStyle w:val="ListParagraph"/>
        <w:numPr>
          <w:ilvl w:val="0"/>
          <w:numId w:val="8"/>
        </w:numPr>
      </w:pPr>
      <w:r>
        <w:t>18 per cent are set-price offers</w:t>
      </w:r>
      <w:r w:rsidR="00116781">
        <w:t xml:space="preserve"> that do not include discounts for paying on time</w:t>
      </w:r>
      <w:r>
        <w:t>.</w:t>
      </w:r>
      <w:r>
        <w:rPr>
          <w:rStyle w:val="FootnoteReference"/>
        </w:rPr>
        <w:footnoteReference w:id="35"/>
      </w:r>
    </w:p>
    <w:p w14:paraId="61064054" w14:textId="7159E088" w:rsidR="00E54CB5" w:rsidRDefault="001223CA" w:rsidP="00CE5762">
      <w:r>
        <w:t>Current discount levels create the impression of a good deal. For electricity it is common to see discounts of 20 to 30 per cent off usage</w:t>
      </w:r>
      <w:r w:rsidR="00051417">
        <w:t>/consumption</w:t>
      </w:r>
      <w:r>
        <w:t xml:space="preserve"> charges. However, it is very difficult to assess whether these discounts constitute competitive, good value deals when retailers are allowed to display only the headline discount percentage and no other information, such as an indicative final price. </w:t>
      </w:r>
      <w:r w:rsidR="00E54CB5">
        <w:t>The example in Figure 3 is taken from the AGL website.</w:t>
      </w:r>
    </w:p>
    <w:p w14:paraId="46AA3303" w14:textId="11494986" w:rsidR="00E54CB5" w:rsidRDefault="00E54CB5" w:rsidP="00BF55D4">
      <w:pPr>
        <w:pStyle w:val="Heading4"/>
      </w:pPr>
      <w:r>
        <w:t xml:space="preserve">Figure </w:t>
      </w:r>
      <w:r w:rsidR="00ED6DD0">
        <w:t>3</w:t>
      </w:r>
      <w:r>
        <w:t>: AGL Victorian electricity offers</w:t>
      </w:r>
    </w:p>
    <w:p w14:paraId="339C7895" w14:textId="1341DA5E" w:rsidR="007F505D" w:rsidRDefault="00E54CB5" w:rsidP="00FA7B5E">
      <w:pPr>
        <w:jc w:val="center"/>
      </w:pPr>
      <w:r>
        <w:rPr>
          <w:noProof/>
          <w:lang w:val="en-AU" w:eastAsia="en-AU"/>
        </w:rPr>
        <w:drawing>
          <wp:inline distT="0" distB="0" distL="0" distR="0" wp14:anchorId="75E2A300" wp14:editId="3DB2488D">
            <wp:extent cx="4371975" cy="2444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1769" t="6167" r="5412" b="42960"/>
                    <a:stretch/>
                  </pic:blipFill>
                  <pic:spPr bwMode="auto">
                    <a:xfrm>
                      <a:off x="0" y="0"/>
                      <a:ext cx="4453294" cy="2489510"/>
                    </a:xfrm>
                    <a:prstGeom prst="rect">
                      <a:avLst/>
                    </a:prstGeom>
                    <a:ln>
                      <a:noFill/>
                    </a:ln>
                    <a:extLst>
                      <a:ext uri="{53640926-AAD7-44D8-BBD7-CCE9431645EC}">
                        <a14:shadowObscured xmlns:a14="http://schemas.microsoft.com/office/drawing/2010/main"/>
                      </a:ext>
                    </a:extLst>
                  </pic:spPr>
                </pic:pic>
              </a:graphicData>
            </a:graphic>
          </wp:inline>
        </w:drawing>
      </w:r>
    </w:p>
    <w:p w14:paraId="24C4EDE6" w14:textId="39E78EFF" w:rsidR="00E54CB5" w:rsidRPr="00E54CB5" w:rsidRDefault="00E54CB5" w:rsidP="00E54CB5">
      <w:pPr>
        <w:rPr>
          <w:i/>
          <w:sz w:val="20"/>
        </w:rPr>
      </w:pPr>
      <w:r w:rsidRPr="00E54CB5">
        <w:rPr>
          <w:i/>
          <w:sz w:val="20"/>
        </w:rPr>
        <w:t>Source: https://www.agl.com.au/residential/energy-plans/electricity-and-gas-plans (29 June 2017)</w:t>
      </w:r>
    </w:p>
    <w:p w14:paraId="6E4B0219" w14:textId="478F7E64" w:rsidR="001C3985" w:rsidRDefault="00D14C5C" w:rsidP="00CE5762">
      <w:r>
        <w:t>A large discount would seem a good deal to most people, but may in fact be a poor deal if the discount is applied to an inflated base rate and the final rate is uncompetitive.</w:t>
      </w:r>
      <w:r w:rsidR="00D0010B">
        <w:t xml:space="preserve"> </w:t>
      </w:r>
      <w:r w:rsidR="00474109">
        <w:t>T</w:t>
      </w:r>
      <w:r w:rsidR="00626B0D">
        <w:t>here can be little correlation between the size of the discount and the bill amount (see Figure 4 below).</w:t>
      </w:r>
    </w:p>
    <w:p w14:paraId="589A1246" w14:textId="76E1774C" w:rsidR="008C6266" w:rsidRDefault="00ED6DD0" w:rsidP="00271F0B">
      <w:pPr>
        <w:pStyle w:val="Heading4"/>
      </w:pPr>
      <w:r>
        <w:t>Figure 4</w:t>
      </w:r>
      <w:r w:rsidR="008C6266" w:rsidRPr="002A3389">
        <w:t>:</w:t>
      </w:r>
      <w:r w:rsidR="002A3389">
        <w:t xml:space="preserve"> Average monthly electricity bill ($) and advertised discount (%)</w:t>
      </w:r>
    </w:p>
    <w:p w14:paraId="231F7574" w14:textId="77777777" w:rsidR="00FA7B5E" w:rsidRDefault="008C6266" w:rsidP="00FA7B5E">
      <w:pPr>
        <w:jc w:val="center"/>
      </w:pPr>
      <w:r>
        <w:rPr>
          <w:noProof/>
          <w:lang w:val="en-AU" w:eastAsia="en-AU"/>
        </w:rPr>
        <w:drawing>
          <wp:inline distT="0" distB="0" distL="0" distR="0" wp14:anchorId="473EA2C7" wp14:editId="21E72383">
            <wp:extent cx="4467225" cy="3092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1954" cy="3102493"/>
                    </a:xfrm>
                    <a:prstGeom prst="rect">
                      <a:avLst/>
                    </a:prstGeom>
                    <a:noFill/>
                  </pic:spPr>
                </pic:pic>
              </a:graphicData>
            </a:graphic>
          </wp:inline>
        </w:drawing>
      </w:r>
    </w:p>
    <w:p w14:paraId="42984769" w14:textId="08E9A382" w:rsidR="002A3389" w:rsidRPr="00FA7B5E" w:rsidRDefault="002A3389" w:rsidP="00FA7B5E">
      <w:r w:rsidRPr="00271F0B">
        <w:rPr>
          <w:i/>
          <w:sz w:val="20"/>
        </w:rPr>
        <w:t xml:space="preserve">Notes: </w:t>
      </w:r>
      <w:r w:rsidR="00271F0B" w:rsidRPr="00271F0B">
        <w:rPr>
          <w:i/>
          <w:sz w:val="20"/>
        </w:rPr>
        <w:t xml:space="preserve">Average monthly bill is calculated from a representative Victorian household using 4273 kWh electricity per year. All discounts are included in the monthly bill amount. Electricity rates accessed for a household in the </w:t>
      </w:r>
      <w:proofErr w:type="spellStart"/>
      <w:r w:rsidR="00271F0B" w:rsidRPr="00271F0B">
        <w:rPr>
          <w:i/>
          <w:sz w:val="20"/>
        </w:rPr>
        <w:t>Citipower</w:t>
      </w:r>
      <w:proofErr w:type="spellEnd"/>
      <w:r w:rsidR="00271F0B" w:rsidRPr="00271F0B">
        <w:rPr>
          <w:i/>
          <w:sz w:val="20"/>
        </w:rPr>
        <w:t xml:space="preserve"> distribution zone.</w:t>
      </w:r>
      <w:r w:rsidR="00FA7B5E">
        <w:rPr>
          <w:i/>
          <w:sz w:val="20"/>
        </w:rPr>
        <w:t xml:space="preserve"> </w:t>
      </w:r>
      <w:r w:rsidRPr="00271F0B">
        <w:rPr>
          <w:i/>
          <w:sz w:val="20"/>
        </w:rPr>
        <w:t xml:space="preserve">Source: Grattan </w:t>
      </w:r>
      <w:r w:rsidRPr="00783F41">
        <w:rPr>
          <w:i/>
          <w:sz w:val="20"/>
        </w:rPr>
        <w:t>Institute</w:t>
      </w:r>
      <w:r w:rsidR="00271F0B" w:rsidRPr="00783F41">
        <w:rPr>
          <w:rStyle w:val="FootnoteReference"/>
          <w:i/>
          <w:sz w:val="20"/>
        </w:rPr>
        <w:footnoteReference w:id="36"/>
      </w:r>
    </w:p>
    <w:p w14:paraId="5BACB880" w14:textId="538C0890" w:rsidR="00E405AB" w:rsidRDefault="00E405AB" w:rsidP="00CE5762">
      <w:r>
        <w:t xml:space="preserve">In this analysis, </w:t>
      </w:r>
      <w:r w:rsidR="00217F81">
        <w:t>people on</w:t>
      </w:r>
      <w:r>
        <w:t xml:space="preserve"> the non-discount deal paid slightly less than those on the 30 per cent discount deal. Further, the 10 per cent discount de</w:t>
      </w:r>
      <w:r w:rsidR="00E92E4D">
        <w:t>al is</w:t>
      </w:r>
      <w:r w:rsidR="00217F81">
        <w:t xml:space="preserve"> in fact</w:t>
      </w:r>
      <w:r w:rsidR="00E92E4D">
        <w:t xml:space="preserve"> one of the better value</w:t>
      </w:r>
      <w:r>
        <w:t xml:space="preserve"> discount deals, but may not ap</w:t>
      </w:r>
      <w:r w:rsidR="00217F81">
        <w:t xml:space="preserve">pear that way to </w:t>
      </w:r>
      <w:r>
        <w:t>customers when they are presented with discoun</w:t>
      </w:r>
      <w:r w:rsidR="00217F81">
        <w:t>ts of 20 to 30 per cent or more elsewhere in the market.</w:t>
      </w:r>
    </w:p>
    <w:p w14:paraId="2BFD63F5" w14:textId="20E8D0AC" w:rsidR="00D4159F" w:rsidRDefault="00470E9B" w:rsidP="00D4159F">
      <w:r>
        <w:t xml:space="preserve">Current pricing displays make it difficult to determine </w:t>
      </w:r>
      <w:r w:rsidR="002636A3">
        <w:t>which</w:t>
      </w:r>
      <w:r>
        <w:t xml:space="preserve"> deal offers better value.</w:t>
      </w:r>
      <w:r w:rsidR="00D4159F">
        <w:t xml:space="preserve"> They also make it hard to assess the risk</w:t>
      </w:r>
      <w:r w:rsidR="00D0010B">
        <w:t xml:space="preserve"> of pay</w:t>
      </w:r>
      <w:r w:rsidR="008C6266">
        <w:t>-on-time discount deals, if a person</w:t>
      </w:r>
      <w:r w:rsidR="00D0010B">
        <w:t xml:space="preserve"> cannot pay on time.</w:t>
      </w:r>
      <w:r w:rsidR="00D4159F">
        <w:t xml:space="preserve"> </w:t>
      </w:r>
      <w:r w:rsidR="002636A3">
        <w:t>In 2015-16</w:t>
      </w:r>
      <w:r w:rsidR="00BF55D4">
        <w:t>, people would have paid less for electricity if they were on a standing offer or a</w:t>
      </w:r>
      <w:r w:rsidR="00D05427">
        <w:t>n</w:t>
      </w:r>
      <w:r w:rsidR="00BF55D4">
        <w:t xml:space="preserve"> </w:t>
      </w:r>
      <w:r w:rsidR="00D05427">
        <w:t xml:space="preserve">undiscounted </w:t>
      </w:r>
      <w:r w:rsidR="00BF55D4">
        <w:t>market offer, than a discount offer they could not comply with by paying on time (see Table 1).</w:t>
      </w:r>
    </w:p>
    <w:p w14:paraId="7A2EF84D" w14:textId="3B340FB6" w:rsidR="00BF55D4" w:rsidRDefault="00BF55D4" w:rsidP="00BF55D4">
      <w:pPr>
        <w:pStyle w:val="Heading4"/>
      </w:pPr>
      <w:r>
        <w:t>Table</w:t>
      </w:r>
      <w:r w:rsidR="009B10ED">
        <w:t xml:space="preserve"> 1: Average </w:t>
      </w:r>
      <w:r>
        <w:t xml:space="preserve">electricity costs, Victoria, 2015-16 </w:t>
      </w:r>
    </w:p>
    <w:tbl>
      <w:tblPr>
        <w:tblStyle w:val="TableGrid"/>
        <w:tblW w:w="0" w:type="auto"/>
        <w:tblLook w:val="04A0" w:firstRow="1" w:lastRow="0" w:firstColumn="1" w:lastColumn="0" w:noHBand="0" w:noVBand="1"/>
      </w:tblPr>
      <w:tblGrid>
        <w:gridCol w:w="5098"/>
        <w:gridCol w:w="3622"/>
      </w:tblGrid>
      <w:tr w:rsidR="002636A3" w:rsidRPr="002636A3" w14:paraId="1750BD8C" w14:textId="77777777" w:rsidTr="002636A3">
        <w:trPr>
          <w:trHeight w:hRule="exact" w:val="991"/>
        </w:trPr>
        <w:tc>
          <w:tcPr>
            <w:tcW w:w="5098" w:type="dxa"/>
            <w:shd w:val="clear" w:color="auto" w:fill="A6A6A6" w:themeFill="background1" w:themeFillShade="A6"/>
          </w:tcPr>
          <w:p w14:paraId="3A3462BE" w14:textId="0F846E44" w:rsidR="002636A3" w:rsidRPr="002636A3" w:rsidRDefault="002636A3" w:rsidP="003052E7">
            <w:pPr>
              <w:rPr>
                <w:b/>
                <w:sz w:val="20"/>
              </w:rPr>
            </w:pPr>
            <w:r w:rsidRPr="002636A3">
              <w:rPr>
                <w:b/>
                <w:sz w:val="20"/>
              </w:rPr>
              <w:t>Energy offer type</w:t>
            </w:r>
          </w:p>
        </w:tc>
        <w:tc>
          <w:tcPr>
            <w:tcW w:w="3622" w:type="dxa"/>
            <w:shd w:val="clear" w:color="auto" w:fill="A6A6A6" w:themeFill="background1" w:themeFillShade="A6"/>
          </w:tcPr>
          <w:p w14:paraId="06BCE2AD" w14:textId="23498807" w:rsidR="002636A3" w:rsidRPr="002636A3" w:rsidRDefault="002636A3" w:rsidP="002636A3">
            <w:pPr>
              <w:rPr>
                <w:b/>
                <w:sz w:val="20"/>
              </w:rPr>
            </w:pPr>
            <w:r w:rsidRPr="002636A3">
              <w:rPr>
                <w:b/>
                <w:sz w:val="20"/>
              </w:rPr>
              <w:t>Annual average resident</w:t>
            </w:r>
            <w:r>
              <w:rPr>
                <w:b/>
                <w:sz w:val="20"/>
              </w:rPr>
              <w:t xml:space="preserve">ial electricity bill (4000 kWh), </w:t>
            </w:r>
            <w:r w:rsidRPr="002636A3">
              <w:rPr>
                <w:b/>
                <w:sz w:val="20"/>
              </w:rPr>
              <w:t>2015-16</w:t>
            </w:r>
          </w:p>
        </w:tc>
      </w:tr>
      <w:tr w:rsidR="002636A3" w:rsidRPr="004A7C6D" w14:paraId="0377C188" w14:textId="77777777" w:rsidTr="002636A3">
        <w:trPr>
          <w:trHeight w:hRule="exact" w:val="454"/>
        </w:trPr>
        <w:tc>
          <w:tcPr>
            <w:tcW w:w="5098" w:type="dxa"/>
          </w:tcPr>
          <w:p w14:paraId="4DBE9591" w14:textId="1A28E9C1" w:rsidR="002636A3" w:rsidRPr="004A7C6D" w:rsidRDefault="009B10ED" w:rsidP="003052E7">
            <w:pPr>
              <w:rPr>
                <w:sz w:val="20"/>
              </w:rPr>
            </w:pPr>
            <w:r>
              <w:rPr>
                <w:sz w:val="20"/>
              </w:rPr>
              <w:t>Standing</w:t>
            </w:r>
            <w:r w:rsidR="00D05427">
              <w:rPr>
                <w:sz w:val="20"/>
              </w:rPr>
              <w:t xml:space="preserve"> offer</w:t>
            </w:r>
          </w:p>
        </w:tc>
        <w:tc>
          <w:tcPr>
            <w:tcW w:w="3622" w:type="dxa"/>
          </w:tcPr>
          <w:p w14:paraId="004F9185" w14:textId="61693425" w:rsidR="002636A3" w:rsidRPr="004A7C6D" w:rsidRDefault="002636A3" w:rsidP="003052E7">
            <w:pPr>
              <w:rPr>
                <w:sz w:val="20"/>
              </w:rPr>
            </w:pPr>
            <w:r>
              <w:rPr>
                <w:sz w:val="20"/>
              </w:rPr>
              <w:t>$</w:t>
            </w:r>
            <w:r w:rsidRPr="004A7C6D">
              <w:rPr>
                <w:sz w:val="20"/>
              </w:rPr>
              <w:t>1376</w:t>
            </w:r>
          </w:p>
        </w:tc>
      </w:tr>
      <w:tr w:rsidR="002636A3" w:rsidRPr="004A7C6D" w14:paraId="6C3BAA8B" w14:textId="77777777" w:rsidTr="002636A3">
        <w:trPr>
          <w:trHeight w:hRule="exact" w:val="454"/>
        </w:trPr>
        <w:tc>
          <w:tcPr>
            <w:tcW w:w="5098" w:type="dxa"/>
          </w:tcPr>
          <w:p w14:paraId="24483914" w14:textId="2DB683C9" w:rsidR="002636A3" w:rsidRPr="004A7C6D" w:rsidRDefault="00D05427" w:rsidP="003052E7">
            <w:pPr>
              <w:rPr>
                <w:sz w:val="20"/>
              </w:rPr>
            </w:pPr>
            <w:r>
              <w:rPr>
                <w:sz w:val="20"/>
              </w:rPr>
              <w:t>Undiscounted market offer</w:t>
            </w:r>
          </w:p>
        </w:tc>
        <w:tc>
          <w:tcPr>
            <w:tcW w:w="3622" w:type="dxa"/>
          </w:tcPr>
          <w:p w14:paraId="1B5D46D3" w14:textId="1C024889" w:rsidR="002636A3" w:rsidRPr="004A7C6D" w:rsidRDefault="002636A3" w:rsidP="003052E7">
            <w:pPr>
              <w:rPr>
                <w:sz w:val="20"/>
              </w:rPr>
            </w:pPr>
            <w:r>
              <w:rPr>
                <w:sz w:val="20"/>
              </w:rPr>
              <w:t>$</w:t>
            </w:r>
            <w:r w:rsidRPr="004A7C6D">
              <w:rPr>
                <w:sz w:val="20"/>
              </w:rPr>
              <w:t>1306</w:t>
            </w:r>
          </w:p>
        </w:tc>
      </w:tr>
      <w:tr w:rsidR="002636A3" w:rsidRPr="004A7C6D" w14:paraId="12223724" w14:textId="77777777" w:rsidTr="002636A3">
        <w:trPr>
          <w:trHeight w:hRule="exact" w:val="454"/>
        </w:trPr>
        <w:tc>
          <w:tcPr>
            <w:tcW w:w="5098" w:type="dxa"/>
          </w:tcPr>
          <w:p w14:paraId="07C10B7E" w14:textId="5E936FEC" w:rsidR="002636A3" w:rsidRPr="004A7C6D" w:rsidRDefault="00D05427" w:rsidP="00D05427">
            <w:pPr>
              <w:rPr>
                <w:sz w:val="20"/>
              </w:rPr>
            </w:pPr>
            <w:r>
              <w:rPr>
                <w:sz w:val="20"/>
              </w:rPr>
              <w:t>Discounted market offer</w:t>
            </w:r>
            <w:r w:rsidR="002636A3" w:rsidRPr="004A7C6D">
              <w:rPr>
                <w:sz w:val="20"/>
              </w:rPr>
              <w:t xml:space="preserve"> (discounts not applied)</w:t>
            </w:r>
          </w:p>
        </w:tc>
        <w:tc>
          <w:tcPr>
            <w:tcW w:w="3622" w:type="dxa"/>
          </w:tcPr>
          <w:p w14:paraId="745E83F0" w14:textId="1EA56220" w:rsidR="002636A3" w:rsidRPr="004A7C6D" w:rsidRDefault="002636A3" w:rsidP="003052E7">
            <w:pPr>
              <w:rPr>
                <w:sz w:val="20"/>
              </w:rPr>
            </w:pPr>
            <w:r>
              <w:rPr>
                <w:sz w:val="20"/>
              </w:rPr>
              <w:t>$</w:t>
            </w:r>
            <w:r w:rsidRPr="004A7C6D">
              <w:rPr>
                <w:sz w:val="20"/>
              </w:rPr>
              <w:t>1383</w:t>
            </w:r>
          </w:p>
        </w:tc>
      </w:tr>
      <w:tr w:rsidR="002636A3" w:rsidRPr="004A7C6D" w14:paraId="66A6A2EA" w14:textId="77777777" w:rsidTr="002636A3">
        <w:trPr>
          <w:trHeight w:hRule="exact" w:val="454"/>
        </w:trPr>
        <w:tc>
          <w:tcPr>
            <w:tcW w:w="5098" w:type="dxa"/>
          </w:tcPr>
          <w:p w14:paraId="45AA18CC" w14:textId="0C5C4A59" w:rsidR="002636A3" w:rsidRPr="004A7C6D" w:rsidRDefault="00D05427" w:rsidP="00D05427">
            <w:pPr>
              <w:rPr>
                <w:sz w:val="20"/>
              </w:rPr>
            </w:pPr>
            <w:r>
              <w:rPr>
                <w:sz w:val="20"/>
              </w:rPr>
              <w:t>Discounted market offer</w:t>
            </w:r>
            <w:r w:rsidR="002636A3" w:rsidRPr="004A7C6D">
              <w:rPr>
                <w:sz w:val="20"/>
              </w:rPr>
              <w:t xml:space="preserve"> (discounts applied)</w:t>
            </w:r>
          </w:p>
        </w:tc>
        <w:tc>
          <w:tcPr>
            <w:tcW w:w="3622" w:type="dxa"/>
          </w:tcPr>
          <w:p w14:paraId="1D00B1B7" w14:textId="49B21B80" w:rsidR="002636A3" w:rsidRPr="004A7C6D" w:rsidRDefault="002636A3" w:rsidP="003052E7">
            <w:pPr>
              <w:rPr>
                <w:sz w:val="20"/>
              </w:rPr>
            </w:pPr>
            <w:r>
              <w:rPr>
                <w:sz w:val="20"/>
              </w:rPr>
              <w:t>$</w:t>
            </w:r>
            <w:r w:rsidRPr="004A7C6D">
              <w:rPr>
                <w:sz w:val="20"/>
              </w:rPr>
              <w:t>1137</w:t>
            </w:r>
          </w:p>
        </w:tc>
      </w:tr>
    </w:tbl>
    <w:p w14:paraId="1DAEC103" w14:textId="7AAB5C57" w:rsidR="00BF55D4" w:rsidRPr="00884851" w:rsidRDefault="00BF55D4" w:rsidP="00BF55D4">
      <w:pPr>
        <w:jc w:val="right"/>
        <w:rPr>
          <w:i/>
          <w:sz w:val="18"/>
          <w:szCs w:val="18"/>
        </w:rPr>
      </w:pPr>
      <w:r>
        <w:rPr>
          <w:i/>
          <w:sz w:val="18"/>
          <w:szCs w:val="18"/>
        </w:rPr>
        <w:t>S</w:t>
      </w:r>
      <w:r w:rsidRPr="00884851">
        <w:rPr>
          <w:i/>
          <w:sz w:val="18"/>
          <w:szCs w:val="18"/>
        </w:rPr>
        <w:t xml:space="preserve">ource: </w:t>
      </w:r>
      <w:r w:rsidR="002636A3">
        <w:rPr>
          <w:i/>
          <w:sz w:val="18"/>
          <w:szCs w:val="18"/>
        </w:rPr>
        <w:t xml:space="preserve">adapted from </w:t>
      </w:r>
      <w:r w:rsidRPr="00884851">
        <w:rPr>
          <w:i/>
          <w:sz w:val="18"/>
          <w:szCs w:val="18"/>
        </w:rPr>
        <w:t>Essential Service</w:t>
      </w:r>
      <w:r>
        <w:rPr>
          <w:i/>
          <w:sz w:val="18"/>
          <w:szCs w:val="18"/>
        </w:rPr>
        <w:t xml:space="preserve">s </w:t>
      </w:r>
      <w:r w:rsidRPr="009B10ED">
        <w:rPr>
          <w:i/>
          <w:sz w:val="18"/>
          <w:szCs w:val="18"/>
        </w:rPr>
        <w:t>Commission</w:t>
      </w:r>
      <w:r w:rsidRPr="009B10ED">
        <w:rPr>
          <w:rStyle w:val="FootnoteReference"/>
          <w:i/>
          <w:sz w:val="18"/>
          <w:szCs w:val="18"/>
        </w:rPr>
        <w:footnoteReference w:id="37"/>
      </w:r>
    </w:p>
    <w:p w14:paraId="099DC8B6" w14:textId="6A4B493B" w:rsidR="00DF26AA" w:rsidRDefault="008C6266" w:rsidP="00CE5762">
      <w:r>
        <w:t>A low income household can face financial stress and hardship if they are not properly informed about the actual prices they are likely to pay for electricity, including the risks of high bills under a discount offer if they cannot pay on time.</w:t>
      </w:r>
      <w:r w:rsidR="00D05427">
        <w:t xml:space="preserve"> The</w:t>
      </w:r>
      <w:r w:rsidR="00217F81">
        <w:t xml:space="preserve"> current inquiry </w:t>
      </w:r>
      <w:r w:rsidR="00D05427">
        <w:t xml:space="preserve">should </w:t>
      </w:r>
      <w:r w:rsidR="00217F81">
        <w:t>consider how retailers</w:t>
      </w:r>
      <w:r w:rsidR="00D57F9E">
        <w:t>’</w:t>
      </w:r>
      <w:r w:rsidR="00217F81">
        <w:t xml:space="preserve"> price </w:t>
      </w:r>
      <w:r w:rsidR="0078361E">
        <w:t>re</w:t>
      </w:r>
      <w:r w:rsidR="00217F81">
        <w:t xml:space="preserve">presentations can be reformed, </w:t>
      </w:r>
      <w:r w:rsidR="00EB670D">
        <w:t xml:space="preserve">in order </w:t>
      </w:r>
      <w:r w:rsidR="00217F81">
        <w:t xml:space="preserve">to show consistent, unambiguous displays of </w:t>
      </w:r>
      <w:r w:rsidR="0078361E">
        <w:t xml:space="preserve">estimated </w:t>
      </w:r>
      <w:r w:rsidR="00217F81">
        <w:t>electricity prices. If an energy offer represents a good value, competitive deal,</w:t>
      </w:r>
      <w:r w:rsidR="00EB670D">
        <w:t xml:space="preserve"> easily comparable, estimated</w:t>
      </w:r>
      <w:r w:rsidR="00217F81">
        <w:t xml:space="preserve"> actual prices can reveal it. </w:t>
      </w:r>
    </w:p>
    <w:p w14:paraId="1C64EEE3" w14:textId="414E0CC6" w:rsidR="007546BE" w:rsidRDefault="00217F81" w:rsidP="00CE5762">
      <w:r>
        <w:t>It is not sufficient for actual pricing to be displayed only once a household has submitted their individual network, usage and other details, whether through a retailer’s website or the Victorian Energy Compare online comparator tool.</w:t>
      </w:r>
      <w:r w:rsidR="001B6251">
        <w:t xml:space="preserve"> Uptake of Energy Compare is low,</w:t>
      </w:r>
      <w:r w:rsidR="009D1DBE">
        <w:rPr>
          <w:rStyle w:val="FootnoteReference"/>
        </w:rPr>
        <w:footnoteReference w:id="38"/>
      </w:r>
      <w:r w:rsidR="001B6251">
        <w:t xml:space="preserve"> and people facing disadvantage can face particular barriers in using the service, such as low literacy levels, no computer or internet access, or language barriers.</w:t>
      </w:r>
    </w:p>
    <w:p w14:paraId="1882786A" w14:textId="739B0DB9" w:rsidR="00740BAA" w:rsidRDefault="003052E7" w:rsidP="00CE5762">
      <w:r>
        <w:t>We recomme</w:t>
      </w:r>
      <w:r w:rsidR="00D57F9E">
        <w:t>nd the ACCC consider</w:t>
      </w:r>
      <w:r>
        <w:t xml:space="preserve"> some form of electricity comparison rate. </w:t>
      </w:r>
      <w:r w:rsidR="00740BAA">
        <w:t>We acknowledge this will be more difficult in the</w:t>
      </w:r>
      <w:r w:rsidR="00DF26AA">
        <w:t xml:space="preserve"> electricity industry than many other industries, because prices vary based on consumption level, network area </w:t>
      </w:r>
      <w:r w:rsidR="00AF6CDE">
        <w:t>and different types of tariffs (e.g. single rate, time of use tariffs)</w:t>
      </w:r>
      <w:r w:rsidR="00DF26AA">
        <w:t>. However, these challenges are not insurmountable. Ofgem has developed a tariff comparison rate based o</w:t>
      </w:r>
      <w:r w:rsidR="0053791C">
        <w:t>n per kWh rates. This rate</w:t>
      </w:r>
      <w:r w:rsidR="00DF26AA">
        <w:t xml:space="preserve"> represents the cost of a tariff for a typical consumer, assuming a medium level of energy usage, and includes the unit rates, standing charges and discounts that apply to a given tariff. It can be used as a first point of comparison when comparing tariffs. </w:t>
      </w:r>
      <w:r w:rsidR="00AF6CDE">
        <w:t>As the Grattan Institute notes, ‘establishing a single comparable rate would enable the majority of customers, who are simply looking for the best single-rate tariff, to find the information quickly and easily.’</w:t>
      </w:r>
      <w:r w:rsidR="00AF6CDE">
        <w:rPr>
          <w:rStyle w:val="FootnoteReference"/>
        </w:rPr>
        <w:footnoteReference w:id="39"/>
      </w:r>
    </w:p>
    <w:p w14:paraId="3223DA27" w14:textId="77777777" w:rsidR="00740BAA" w:rsidRDefault="00DF26AA" w:rsidP="00CE5762">
      <w:r>
        <w:t xml:space="preserve">Per unit comparison rates are superficially attractive, permitting electricity prices to be compared like other common household goods such as groceries and petrol. However, per kWh units may not be easily understood by consumers, and this requires further investigation. </w:t>
      </w:r>
    </w:p>
    <w:p w14:paraId="2BC95832" w14:textId="330B7605" w:rsidR="00DF26AA" w:rsidRDefault="00740BAA" w:rsidP="00CE5762">
      <w:r>
        <w:t>Comparison rates</w:t>
      </w:r>
      <w:r w:rsidR="00DF26AA">
        <w:t xml:space="preserve"> could</w:t>
      </w:r>
      <w:r>
        <w:t xml:space="preserve"> instead</w:t>
      </w:r>
      <w:r w:rsidR="00DF26AA">
        <w:t xml:space="preserve"> be estimated for a particular time period (e.g. an annual price), based on different household consumption profiles (e.g. low, medium and high) or a single, average household consumption profile. </w:t>
      </w:r>
    </w:p>
    <w:p w14:paraId="7A8FB770" w14:textId="2CE6C41C" w:rsidR="00DF26AA" w:rsidRDefault="00DF26AA" w:rsidP="00CE5762">
      <w:r>
        <w:t>Where the electricity offer incorporates a conditional discount</w:t>
      </w:r>
      <w:r w:rsidR="00B874ED">
        <w:t xml:space="preserve"> (usually a pay-on-time condition)</w:t>
      </w:r>
      <w:r>
        <w:t>, two rates can be displayed</w:t>
      </w:r>
      <w:r w:rsidR="00B874ED">
        <w:t>: the rat</w:t>
      </w:r>
      <w:r w:rsidR="00B56960">
        <w:t xml:space="preserve">e if a </w:t>
      </w:r>
      <w:r w:rsidR="00B874ED">
        <w:t>person pays on time, and the</w:t>
      </w:r>
      <w:r w:rsidR="00B56960">
        <w:t xml:space="preserve"> rate if a</w:t>
      </w:r>
      <w:r w:rsidR="00B874ED">
        <w:t xml:space="preserve"> person does not pay on time. This reform would help people assess whether conditional discount offers represent good value compared with other offers.</w:t>
      </w:r>
    </w:p>
    <w:p w14:paraId="330F0B72" w14:textId="127E890E" w:rsidR="007546BE" w:rsidRDefault="007546BE" w:rsidP="00CE5762">
      <w:r>
        <w:t>Comparison rates should</w:t>
      </w:r>
      <w:r w:rsidR="00EB670D">
        <w:t xml:space="preserve"> have to be </w:t>
      </w:r>
      <w:r>
        <w:t>used by retailers, third-party comparison sites, third-party marketers or brokers, and other channels through which electricity offers are promoted or sold.</w:t>
      </w:r>
    </w:p>
    <w:p w14:paraId="0E153335" w14:textId="5035EF70" w:rsidR="007546BE" w:rsidRDefault="007546BE" w:rsidP="00CE5762">
      <w:r>
        <w:t xml:space="preserve">VCOSS considers comparison rates would have similar benefits to grocery unit pricing, as identified by the ACCC in </w:t>
      </w:r>
      <w:r w:rsidR="00B56960">
        <w:t>its</w:t>
      </w:r>
      <w:r>
        <w:t xml:space="preserve"> grocery retail prices inquiry. These include: </w:t>
      </w:r>
    </w:p>
    <w:p w14:paraId="6F6271FB" w14:textId="77777777" w:rsidR="007546BE" w:rsidRDefault="007546BE" w:rsidP="00476907">
      <w:pPr>
        <w:pStyle w:val="ListParagraph"/>
        <w:numPr>
          <w:ilvl w:val="0"/>
          <w:numId w:val="9"/>
        </w:numPr>
      </w:pPr>
      <w:r>
        <w:t>making it easier for people to acquire and process pricing information</w:t>
      </w:r>
    </w:p>
    <w:p w14:paraId="70116EE2" w14:textId="77777777" w:rsidR="007546BE" w:rsidRDefault="007546BE" w:rsidP="00476907">
      <w:pPr>
        <w:pStyle w:val="ListParagraph"/>
        <w:numPr>
          <w:ilvl w:val="0"/>
          <w:numId w:val="9"/>
        </w:numPr>
      </w:pPr>
      <w:r>
        <w:t>assisting people to engage in a meaningful price search</w:t>
      </w:r>
    </w:p>
    <w:p w14:paraId="24B6E54A" w14:textId="408DB146" w:rsidR="007546BE" w:rsidRDefault="007546BE" w:rsidP="00476907">
      <w:pPr>
        <w:pStyle w:val="ListParagraph"/>
        <w:numPr>
          <w:ilvl w:val="0"/>
          <w:numId w:val="9"/>
        </w:numPr>
      </w:pPr>
      <w:r>
        <w:t>increasing people’s understanding of relative prices offered by one particular retailer, and among retailers</w:t>
      </w:r>
    </w:p>
    <w:p w14:paraId="2A9ABF10" w14:textId="15B99C27" w:rsidR="007546BE" w:rsidRDefault="007546BE" w:rsidP="00476907">
      <w:pPr>
        <w:pStyle w:val="ListParagraph"/>
        <w:numPr>
          <w:ilvl w:val="0"/>
          <w:numId w:val="9"/>
        </w:numPr>
      </w:pPr>
      <w:proofErr w:type="gramStart"/>
      <w:r>
        <w:t>enabling</w:t>
      </w:r>
      <w:proofErr w:type="gramEnd"/>
      <w:r>
        <w:t xml:space="preserve"> people to assess </w:t>
      </w:r>
      <w:r w:rsidR="00A0578D">
        <w:t>the value</w:t>
      </w:r>
      <w:r>
        <w:t xml:space="preserve"> of product ch</w:t>
      </w:r>
      <w:r w:rsidR="003B583C">
        <w:t>anges</w:t>
      </w:r>
      <w:r w:rsidR="00A0578D">
        <w:t>.</w:t>
      </w:r>
      <w:r w:rsidR="00A0578D">
        <w:rPr>
          <w:rStyle w:val="FootnoteReference"/>
        </w:rPr>
        <w:footnoteReference w:id="40"/>
      </w:r>
    </w:p>
    <w:p w14:paraId="3D043420" w14:textId="77777777" w:rsidR="0090635B" w:rsidRDefault="0090635B" w:rsidP="0090635B">
      <w:r>
        <w:t xml:space="preserve">Comparability of a single retailer’s offers is just as important as inter-retailer </w:t>
      </w:r>
      <w:r w:rsidRPr="0090635B">
        <w:t xml:space="preserve">comparability. AER analysis shows people could get a better deal if they were better informed about their current retailer’s offers. In Victoria over the past 12-18 months, a retailer’s market offers averaged 17 to 22 per cent lower than the same retailer’s standing offer. In other jurisdictions, market offers averaged 8 to 13 per cent lower than standing offers. </w:t>
      </w:r>
    </w:p>
    <w:p w14:paraId="4B8783D9" w14:textId="22B8E0EC" w:rsidR="0090635B" w:rsidRDefault="0090635B" w:rsidP="0090635B">
      <w:r w:rsidRPr="0090635B">
        <w:t>A typical customer switching from an electricity standing offer to the best market offer with the same retailer could save up to $676</w:t>
      </w:r>
      <w:r w:rsidR="00A46EF6">
        <w:t xml:space="preserve"> </w:t>
      </w:r>
      <w:r w:rsidRPr="0090635B">
        <w:t>in Victoria, far in excess of New South Wales ($381), South Australia ($332), Queensland ($256) and the Australian Capital Territory ($204).</w:t>
      </w:r>
      <w:r w:rsidRPr="0090635B">
        <w:rPr>
          <w:rStyle w:val="FootnoteReference"/>
        </w:rPr>
        <w:footnoteReference w:id="41"/>
      </w:r>
    </w:p>
    <w:p w14:paraId="4AF9823E" w14:textId="0D515643" w:rsidR="00A0578D" w:rsidRDefault="00A0578D" w:rsidP="00A0578D">
      <w:r>
        <w:t>Having improved the transparency and comparability of grocery retail pricing, we consider it even more important</w:t>
      </w:r>
      <w:r w:rsidR="0090635B">
        <w:t xml:space="preserve"> </w:t>
      </w:r>
      <w:r>
        <w:t>the ACCC investigate comparison rates or other ways of improving price representations in the retail electricity market, given the role of electricity as an essential service and the complexity involved in working out the value of electricity offers.</w:t>
      </w:r>
    </w:p>
    <w:p w14:paraId="5DCD7541" w14:textId="1741DB86" w:rsidR="00D0010B" w:rsidRDefault="002A3389" w:rsidP="00E30C13">
      <w:pPr>
        <w:pStyle w:val="Heading2"/>
      </w:pPr>
      <w:bookmarkStart w:id="14" w:name="_Toc487183908"/>
      <w:r>
        <w:t>Ambiguous ‘benefit periods’</w:t>
      </w:r>
      <w:r w:rsidR="00707ECE">
        <w:t xml:space="preserve"> and subsequent pricing</w:t>
      </w:r>
      <w:bookmarkEnd w:id="14"/>
    </w:p>
    <w:p w14:paraId="6D8AD06B" w14:textId="77777777" w:rsidR="00062374" w:rsidRDefault="00062374" w:rsidP="00062374">
      <w:pPr>
        <w:pStyle w:val="Boxheading"/>
      </w:pPr>
      <w:r w:rsidRPr="004F5665">
        <w:t>Recommendation</w:t>
      </w:r>
      <w:r>
        <w:t>s</w:t>
      </w:r>
    </w:p>
    <w:p w14:paraId="016A9CE6" w14:textId="77777777" w:rsidR="00062374" w:rsidRDefault="00062374" w:rsidP="00062374">
      <w:pPr>
        <w:pStyle w:val="Boxtext"/>
      </w:pPr>
      <w:r>
        <w:t>Investigate</w:t>
      </w:r>
      <w:r w:rsidRPr="004F5665">
        <w:t xml:space="preserve"> whether benefit periods</w:t>
      </w:r>
      <w:r>
        <w:t xml:space="preserve"> may</w:t>
      </w:r>
      <w:r w:rsidRPr="004F5665">
        <w:t xml:space="preserve"> constitute misleading or deceptive conduct</w:t>
      </w:r>
      <w:r>
        <w:t>,</w:t>
      </w:r>
      <w:r w:rsidRPr="004F5665">
        <w:t xml:space="preserve"> or an unfair contract term</w:t>
      </w:r>
      <w:r>
        <w:t>,</w:t>
      </w:r>
      <w:r w:rsidRPr="004F5665">
        <w:t xml:space="preserve"> under the </w:t>
      </w:r>
      <w:r w:rsidRPr="004F5665">
        <w:rPr>
          <w:i/>
        </w:rPr>
        <w:t xml:space="preserve">Competition and Consumer Act 2010 </w:t>
      </w:r>
      <w:r w:rsidRPr="004F5665">
        <w:t>(Cth).</w:t>
      </w:r>
    </w:p>
    <w:p w14:paraId="7211D920" w14:textId="77777777" w:rsidR="00062374" w:rsidRPr="00FE5D50" w:rsidRDefault="00062374" w:rsidP="00062374">
      <w:pPr>
        <w:pStyle w:val="Boxtext"/>
      </w:pPr>
      <w:r>
        <w:t>Seek industry data on customer outcomes at the end of benefit periods.</w:t>
      </w:r>
    </w:p>
    <w:p w14:paraId="7D96D370" w14:textId="77777777" w:rsidR="00997684" w:rsidRDefault="00997684" w:rsidP="00CE5762"/>
    <w:p w14:paraId="60EEE8A4" w14:textId="36E8FC3E" w:rsidR="00E30C13" w:rsidRDefault="005840C3" w:rsidP="00CE5762">
      <w:r>
        <w:t xml:space="preserve">Discount offers are generally only available during a ‘benefit period’ that typically lasts 12 or 24 months. The benefit period is distinct from the contract period. A person could be </w:t>
      </w:r>
      <w:r w:rsidR="00ED27E2">
        <w:t xml:space="preserve">on </w:t>
      </w:r>
      <w:r>
        <w:t>a contract with no fixed term, but a defined (say 12 month) benefit period. Ongoing contracts with limited benefit periods are becoming increasingly common in Victoria.</w:t>
      </w:r>
    </w:p>
    <w:p w14:paraId="0987D50F" w14:textId="615D63B2" w:rsidR="005840C3" w:rsidRDefault="005840C3" w:rsidP="00CE5762">
      <w:r>
        <w:t>Benefit periods seem to have be</w:t>
      </w:r>
      <w:r w:rsidR="00A738F2">
        <w:t>en</w:t>
      </w:r>
      <w:r>
        <w:t xml:space="preserve"> started by the three major Victorian retailers in 2013, and have since become widespread across the NEM.</w:t>
      </w:r>
      <w:r>
        <w:rPr>
          <w:rStyle w:val="FootnoteReference"/>
        </w:rPr>
        <w:footnoteReference w:id="42"/>
      </w:r>
    </w:p>
    <w:p w14:paraId="6098332D" w14:textId="6F6EBE61" w:rsidR="0056717B" w:rsidRDefault="0056717B" w:rsidP="00CE5762">
      <w:r>
        <w:t>Benefit periods create problems for people in a number of ways, particularly people who struggle to engage with the electricity market.</w:t>
      </w:r>
      <w:r w:rsidR="005840C3">
        <w:t xml:space="preserve"> First, </w:t>
      </w:r>
      <w:r>
        <w:t>while the Victorian Energy Retail Code regulates market contracts, it does not specifically regulate benefit periods. There are individual, inconsistent and confusing practices among retailers in relation to:</w:t>
      </w:r>
    </w:p>
    <w:p w14:paraId="7D1E345B" w14:textId="77777777" w:rsidR="0056717B" w:rsidRPr="0056717B" w:rsidRDefault="0056717B" w:rsidP="00476907">
      <w:pPr>
        <w:pStyle w:val="ListParagraph"/>
        <w:numPr>
          <w:ilvl w:val="0"/>
          <w:numId w:val="10"/>
        </w:numPr>
        <w:rPr>
          <w:szCs w:val="22"/>
        </w:rPr>
      </w:pPr>
      <w:r w:rsidRPr="0056717B">
        <w:rPr>
          <w:szCs w:val="22"/>
        </w:rPr>
        <w:t xml:space="preserve">pre-contract communications with customers about the nature and length of the benefit period, and what will happen at the end of the benefit period </w:t>
      </w:r>
    </w:p>
    <w:p w14:paraId="0ACB8577" w14:textId="5CC8CD1B" w:rsidR="0056717B" w:rsidRPr="0056717B" w:rsidRDefault="0056717B" w:rsidP="00476907">
      <w:pPr>
        <w:pStyle w:val="ListParagraph"/>
        <w:numPr>
          <w:ilvl w:val="0"/>
          <w:numId w:val="10"/>
        </w:numPr>
        <w:rPr>
          <w:szCs w:val="22"/>
        </w:rPr>
      </w:pPr>
      <w:r w:rsidRPr="0056717B">
        <w:rPr>
          <w:szCs w:val="22"/>
        </w:rPr>
        <w:t xml:space="preserve">whether, and how, retailers notify customers when the benefit period is about to end </w:t>
      </w:r>
    </w:p>
    <w:p w14:paraId="3CCBEA31" w14:textId="008D7DDB" w:rsidR="0056717B" w:rsidRPr="0056717B" w:rsidRDefault="0056717B" w:rsidP="00476907">
      <w:pPr>
        <w:pStyle w:val="ListParagraph"/>
        <w:numPr>
          <w:ilvl w:val="0"/>
          <w:numId w:val="10"/>
        </w:numPr>
        <w:rPr>
          <w:szCs w:val="22"/>
        </w:rPr>
      </w:pPr>
      <w:r w:rsidRPr="0056717B">
        <w:rPr>
          <w:szCs w:val="22"/>
        </w:rPr>
        <w:t xml:space="preserve">whether customers are automatically placed on new tariffs at the end of the benefit period, which can include standing tariffs </w:t>
      </w:r>
    </w:p>
    <w:p w14:paraId="6FDB7099" w14:textId="77777777" w:rsidR="0056717B" w:rsidRPr="0056717B" w:rsidRDefault="0056717B" w:rsidP="00476907">
      <w:pPr>
        <w:pStyle w:val="ListParagraph"/>
        <w:numPr>
          <w:ilvl w:val="0"/>
          <w:numId w:val="10"/>
        </w:numPr>
        <w:rPr>
          <w:szCs w:val="22"/>
        </w:rPr>
      </w:pPr>
      <w:r w:rsidRPr="0056717B">
        <w:rPr>
          <w:szCs w:val="22"/>
        </w:rPr>
        <w:t xml:space="preserve">whether retailers give customers an opportunity to consider their options prior to the end of the benefit period, whether this is an additional benefit period, a new contract, a standing tariff or other arrangement </w:t>
      </w:r>
    </w:p>
    <w:p w14:paraId="03CEFB9F" w14:textId="58E86B10" w:rsidR="006B4613" w:rsidRPr="006B4613" w:rsidRDefault="0056717B" w:rsidP="00476907">
      <w:pPr>
        <w:pStyle w:val="ListParagraph"/>
        <w:numPr>
          <w:ilvl w:val="0"/>
          <w:numId w:val="10"/>
        </w:numPr>
        <w:rPr>
          <w:szCs w:val="22"/>
        </w:rPr>
      </w:pPr>
      <w:proofErr w:type="gramStart"/>
      <w:r w:rsidRPr="0056717B">
        <w:rPr>
          <w:szCs w:val="22"/>
        </w:rPr>
        <w:t>how</w:t>
      </w:r>
      <w:proofErr w:type="gramEnd"/>
      <w:r w:rsidRPr="0056717B">
        <w:rPr>
          <w:szCs w:val="22"/>
        </w:rPr>
        <w:t xml:space="preserve"> retailers communicate end-of-benefit-period options</w:t>
      </w:r>
      <w:r w:rsidR="00600151">
        <w:rPr>
          <w:szCs w:val="22"/>
        </w:rPr>
        <w:t xml:space="preserve"> and price changes</w:t>
      </w:r>
      <w:r w:rsidRPr="0056717B">
        <w:rPr>
          <w:szCs w:val="22"/>
        </w:rPr>
        <w:t>—some retailers only list options over the phone (requiring people to make a quick, on-the-spot decision) and do not provide them in writing</w:t>
      </w:r>
      <w:r>
        <w:rPr>
          <w:szCs w:val="22"/>
        </w:rPr>
        <w:t>.</w:t>
      </w:r>
      <w:r>
        <w:rPr>
          <w:rStyle w:val="FootnoteReference"/>
          <w:szCs w:val="22"/>
        </w:rPr>
        <w:footnoteReference w:id="43"/>
      </w:r>
    </w:p>
    <w:p w14:paraId="394101E0" w14:textId="188FA354" w:rsidR="006B4613" w:rsidRDefault="006B4613" w:rsidP="0056717B">
      <w:r>
        <w:t>Without this information, people cannot assess the risks of benefit period deals, and may agree to revert to a poor value deal after a relatively short 12 or 24 month period.</w:t>
      </w:r>
    </w:p>
    <w:p w14:paraId="35912B43" w14:textId="0DE7C4BB" w:rsidR="003B583C" w:rsidRPr="00D53940" w:rsidRDefault="0056717B" w:rsidP="00F95D2B">
      <w:r>
        <w:t xml:space="preserve">Second, </w:t>
      </w:r>
      <w:r w:rsidR="006B4613">
        <w:t>there is limited</w:t>
      </w:r>
      <w:r w:rsidR="005840C3">
        <w:t xml:space="preserve"> transparency around pricing and customer outcomes at</w:t>
      </w:r>
      <w:r w:rsidR="006B4613">
        <w:t xml:space="preserve"> the</w:t>
      </w:r>
      <w:r w:rsidR="005840C3">
        <w:t xml:space="preserve"> end of benefit periods</w:t>
      </w:r>
      <w:r w:rsidR="009D1DBE">
        <w:t xml:space="preserve"> and contract terms</w:t>
      </w:r>
      <w:r w:rsidR="005840C3">
        <w:t>. It seems some customers revert to standing offers, while others</w:t>
      </w:r>
      <w:r w:rsidR="003B583C">
        <w:t xml:space="preserve"> may be</w:t>
      </w:r>
      <w:r w:rsidR="005840C3">
        <w:t xml:space="preserve"> placed on ‘off-market’ offers generally </w:t>
      </w:r>
      <w:r w:rsidR="006B4613">
        <w:t xml:space="preserve">not </w:t>
      </w:r>
      <w:r w:rsidR="005840C3">
        <w:t>visible to electricity customers.</w:t>
      </w:r>
      <w:r w:rsidR="00FE5D50">
        <w:t xml:space="preserve"> </w:t>
      </w:r>
      <w:r w:rsidR="00FE5D50">
        <w:rPr>
          <w:szCs w:val="22"/>
        </w:rPr>
        <w:t>A</w:t>
      </w:r>
      <w:r w:rsidR="00F95D2B">
        <w:rPr>
          <w:szCs w:val="22"/>
        </w:rPr>
        <w:t>s the AER notes, ‘discounts in market offers t</w:t>
      </w:r>
      <w:r w:rsidR="00FE5D50">
        <w:rPr>
          <w:szCs w:val="22"/>
        </w:rPr>
        <w:t>end to be finite … C</w:t>
      </w:r>
      <w:r w:rsidR="00F95D2B">
        <w:rPr>
          <w:szCs w:val="22"/>
        </w:rPr>
        <w:t>ustomer</w:t>
      </w:r>
      <w:r w:rsidR="00FE5D50">
        <w:rPr>
          <w:szCs w:val="22"/>
        </w:rPr>
        <w:t>s</w:t>
      </w:r>
      <w:r w:rsidR="00F95D2B">
        <w:rPr>
          <w:szCs w:val="22"/>
        </w:rPr>
        <w:t xml:space="preserve"> who do not switch regularly may find themselves moving back to prices closer to standing offer levels’.</w:t>
      </w:r>
      <w:r w:rsidR="00F95D2B">
        <w:rPr>
          <w:rStyle w:val="FootnoteReference"/>
          <w:szCs w:val="22"/>
        </w:rPr>
        <w:footnoteReference w:id="44"/>
      </w:r>
      <w:r w:rsidR="00F95D2B">
        <w:rPr>
          <w:szCs w:val="22"/>
        </w:rPr>
        <w:t xml:space="preserve"> </w:t>
      </w:r>
      <w:r w:rsidR="00D53940">
        <w:t xml:space="preserve">We do not know how many people are on relatively expensive ongoing contracts with lapsed benefit periods. </w:t>
      </w:r>
    </w:p>
    <w:p w14:paraId="5287FE10" w14:textId="77777777" w:rsidR="00367902" w:rsidRDefault="0070607E" w:rsidP="00CE5762">
      <w:r>
        <w:t>The use of benefit periods is confusing</w:t>
      </w:r>
      <w:r w:rsidR="004F5665">
        <w:t xml:space="preserve"> and potentially misleading</w:t>
      </w:r>
      <w:r>
        <w:t>, obscuring the prices actually paid under the contract</w:t>
      </w:r>
      <w:r w:rsidR="004F5665">
        <w:t xml:space="preserve"> and </w:t>
      </w:r>
      <w:r w:rsidR="00D57F9E">
        <w:t xml:space="preserve">the </w:t>
      </w:r>
      <w:r w:rsidR="004F5665">
        <w:t>duration of discounts or other aspects of an energy offer. They also deter</w:t>
      </w:r>
      <w:r>
        <w:t xml:space="preserve"> switching where the difference between the benefit period and the contract term is misunderstood</w:t>
      </w:r>
      <w:r w:rsidR="004F5665">
        <w:t xml:space="preserve"> and people believe they are receiving the same deal after a benefit period has expired</w:t>
      </w:r>
      <w:r>
        <w:t xml:space="preserve">. </w:t>
      </w:r>
    </w:p>
    <w:p w14:paraId="1AC83B28" w14:textId="35A3D1F5" w:rsidR="00E30C13" w:rsidRPr="0070607E" w:rsidRDefault="0070607E" w:rsidP="00CE5762">
      <w:r>
        <w:t xml:space="preserve">VCOSS has asked the Victorian government’s Retail Markets Review to consider prohibiting benefit periods in Victoria under the Energy Retail Code or the </w:t>
      </w:r>
      <w:r>
        <w:rPr>
          <w:i/>
        </w:rPr>
        <w:t xml:space="preserve">Electricity Industry Act 2000 </w:t>
      </w:r>
      <w:r>
        <w:t xml:space="preserve">(Vic) and the </w:t>
      </w:r>
      <w:r>
        <w:rPr>
          <w:i/>
        </w:rPr>
        <w:t xml:space="preserve">Gas Industry Act 2001 </w:t>
      </w:r>
      <w:r>
        <w:t>(Vic). It would be clearer for people if ‘a contract is a contract’, with any benefits lasting over an entire contract term</w:t>
      </w:r>
      <w:r w:rsidR="00B56960">
        <w:t xml:space="preserve"> (even if this is only a 12 or 24 month term)</w:t>
      </w:r>
      <w:r>
        <w:t>, and making it clear when people will need to consider switching.</w:t>
      </w:r>
      <w:r w:rsidR="00367902">
        <w:t xml:space="preserve"> The current use of benefit periods does not appear to be necessary to protect retailers’ interests—if a certain price or benefit can only be maintained for a particular period, this can be managed by limiting the contract term to a certain length. </w:t>
      </w:r>
    </w:p>
    <w:p w14:paraId="261A2CCF" w14:textId="7384101E" w:rsidR="005840C3" w:rsidRDefault="00B56960" w:rsidP="00CE5762">
      <w:r>
        <w:t xml:space="preserve">Separately to the Victorian review, VCOSS asks the ACCC to consider whether </w:t>
      </w:r>
      <w:r w:rsidR="00367902">
        <w:t>‘</w:t>
      </w:r>
      <w:r>
        <w:t>benefit periods</w:t>
      </w:r>
      <w:r w:rsidR="00367902">
        <w:t>’, as they are used in Victorian electricity contracts,</w:t>
      </w:r>
      <w:r>
        <w:t xml:space="preserve"> may constitute</w:t>
      </w:r>
      <w:r w:rsidR="00FC4BF9">
        <w:t xml:space="preserve"> misleading or</w:t>
      </w:r>
      <w:r w:rsidR="004F5665">
        <w:t xml:space="preserve"> deceptive conduct</w:t>
      </w:r>
      <w:r w:rsidR="00FC4BF9">
        <w:t>,</w:t>
      </w:r>
      <w:r w:rsidR="004F5665">
        <w:t xml:space="preserve"> or</w:t>
      </w:r>
      <w:r>
        <w:t xml:space="preserve"> </w:t>
      </w:r>
      <w:r w:rsidR="00391890">
        <w:t>an unfair contract term</w:t>
      </w:r>
      <w:r w:rsidR="00FC4BF9">
        <w:t>,</w:t>
      </w:r>
      <w:r w:rsidR="00391890">
        <w:t xml:space="preserve"> under the </w:t>
      </w:r>
      <w:r w:rsidR="00391890">
        <w:rPr>
          <w:i/>
        </w:rPr>
        <w:t xml:space="preserve">Competition and Consumer Act </w:t>
      </w:r>
      <w:r w:rsidR="002A3389">
        <w:rPr>
          <w:i/>
        </w:rPr>
        <w:t xml:space="preserve">2010 </w:t>
      </w:r>
      <w:r w:rsidR="00D53940">
        <w:t>(Cth).</w:t>
      </w:r>
    </w:p>
    <w:p w14:paraId="7B1D1E1A" w14:textId="63A87C20" w:rsidR="00707ECE" w:rsidRPr="00FA7B5E" w:rsidRDefault="00474109" w:rsidP="00FA7B5E">
      <w:pPr>
        <w:pStyle w:val="Heading2"/>
      </w:pPr>
      <w:bookmarkStart w:id="15" w:name="_Toc487183909"/>
      <w:r>
        <w:t>Unclear and potentially u</w:t>
      </w:r>
      <w:r w:rsidR="00DB2ACB">
        <w:t>ncompetitive f</w:t>
      </w:r>
      <w:r w:rsidR="00707ECE" w:rsidRPr="00BE15E4">
        <w:t>ixed charges</w:t>
      </w:r>
      <w:bookmarkEnd w:id="15"/>
    </w:p>
    <w:p w14:paraId="7A302084" w14:textId="77777777" w:rsidR="00062374" w:rsidRDefault="00062374" w:rsidP="00062374">
      <w:pPr>
        <w:pStyle w:val="Boxheading"/>
      </w:pPr>
      <w:r>
        <w:t>Recommendation</w:t>
      </w:r>
    </w:p>
    <w:p w14:paraId="235C55BA" w14:textId="77777777" w:rsidR="00062374" w:rsidRPr="007A2C01" w:rsidRDefault="00062374" w:rsidP="00062374">
      <w:pPr>
        <w:pStyle w:val="Boxtext"/>
      </w:pPr>
      <w:r>
        <w:t xml:space="preserve">Consider whether there is a lack of transparency around the composition of fixed charges and whether the fixed charge should be based on network and policy costs only. </w:t>
      </w:r>
    </w:p>
    <w:p w14:paraId="28517818" w14:textId="77777777" w:rsidR="00062374" w:rsidRDefault="00062374" w:rsidP="00826CAB"/>
    <w:p w14:paraId="5D103D4D" w14:textId="5B9146F8" w:rsidR="004D284D" w:rsidRDefault="00176803" w:rsidP="00826CAB">
      <w:r>
        <w:t>Another issue in the Victorian retail market is the high retail component of the fixe</w:t>
      </w:r>
      <w:r w:rsidR="00B307A2">
        <w:t>d charge. For example, in one</w:t>
      </w:r>
      <w:r>
        <w:t xml:space="preserve"> analysis of an Origin Energy market offer in the Citipower network, 53 per cent of the fixed charge was retailer costs, which far exceeded network and smart meter costs, the other components of the fixed charge.</w:t>
      </w:r>
      <w:r w:rsidR="00BF6C7D">
        <w:t xml:space="preserve"> This</w:t>
      </w:r>
      <w:r w:rsidR="004D284D">
        <w:t xml:space="preserve"> analysis also shows Victoria has relatively high fixed retail costs compared to other deregulated NEM jurisdictions.</w:t>
      </w:r>
      <w:r w:rsidR="004D284D">
        <w:rPr>
          <w:rStyle w:val="FootnoteReference"/>
        </w:rPr>
        <w:footnoteReference w:id="45"/>
      </w:r>
      <w:r w:rsidR="006C06CB">
        <w:t xml:space="preserve"> </w:t>
      </w:r>
    </w:p>
    <w:p w14:paraId="08F348F0" w14:textId="77777777" w:rsidR="00274378" w:rsidRDefault="00826CAB" w:rsidP="00826CAB">
      <w:r>
        <w:t>While we acknowledge each retailer has a range of fixed costs relating to billing, customer service and other factors, it is difficult to see how a retailer’s fixed costs could be more than double the proportion of network fixed costs, given the extensive expenditure involved in operating networks.</w:t>
      </w:r>
    </w:p>
    <w:p w14:paraId="4D374FB8" w14:textId="56AD3FD0" w:rsidR="00037396" w:rsidRDefault="00274378" w:rsidP="00FC4BF9">
      <w:r>
        <w:t>Despite the large share retailers can take in fixed charges, some retailers give customers the impression the fixed charge relates only to network costs.</w:t>
      </w:r>
      <w:r>
        <w:rPr>
          <w:rStyle w:val="FootnoteReference"/>
        </w:rPr>
        <w:footnoteReference w:id="46"/>
      </w:r>
      <w:r>
        <w:t xml:space="preserve"> </w:t>
      </w:r>
      <w:r w:rsidR="00037396">
        <w:t>We ask the ACCC to</w:t>
      </w:r>
      <w:r w:rsidR="00826CAB">
        <w:t xml:space="preserve"> examine whether there</w:t>
      </w:r>
      <w:r w:rsidR="001B3D7A">
        <w:t xml:space="preserve"> is a lack of transparency around the composition of </w:t>
      </w:r>
      <w:r w:rsidR="00826CAB">
        <w:t>fixed charges, and whether the inclusion of retail co</w:t>
      </w:r>
      <w:r w:rsidR="00C96D69">
        <w:t>sts in the fixed charge makes it more difficult for</w:t>
      </w:r>
      <w:r w:rsidR="00826CAB">
        <w:t xml:space="preserve"> total retail costs </w:t>
      </w:r>
      <w:r w:rsidR="00C96D69">
        <w:t>to be</w:t>
      </w:r>
      <w:r w:rsidR="00826CAB">
        <w:t xml:space="preserve"> subjected to competition.</w:t>
      </w:r>
      <w:r w:rsidR="001B3D7A">
        <w:t xml:space="preserve"> If this is the case, people may be paying more th</w:t>
      </w:r>
      <w:r w:rsidR="004D284D">
        <w:t>an they need to for electricity. This includes low consumption households (such as sole adult pensioner households) who are frustrated they still have unaffordable electricity b</w:t>
      </w:r>
      <w:r>
        <w:t>ills</w:t>
      </w:r>
      <w:r w:rsidR="004D284D">
        <w:t xml:space="preserve"> </w:t>
      </w:r>
      <w:r>
        <w:t xml:space="preserve">due </w:t>
      </w:r>
      <w:r w:rsidR="004D284D">
        <w:t xml:space="preserve">to high fixed charges. </w:t>
      </w:r>
      <w:r w:rsidR="001B3D7A">
        <w:t>If there is a lack of competition around total retail costs</w:t>
      </w:r>
      <w:r>
        <w:t>, we seek the ACCC’s views on</w:t>
      </w:r>
      <w:r w:rsidR="00826CAB">
        <w:t xml:space="preserve"> whether this could be rect</w:t>
      </w:r>
      <w:r w:rsidR="00FC4BF9">
        <w:t xml:space="preserve">ified by requiring retailers to </w:t>
      </w:r>
      <w:r w:rsidR="006F68AF">
        <w:t>base the fixed charge on network</w:t>
      </w:r>
      <w:r w:rsidR="003D443D">
        <w:t xml:space="preserve"> and policy</w:t>
      </w:r>
      <w:r w:rsidR="006F68AF">
        <w:t xml:space="preserve"> costs only</w:t>
      </w:r>
      <w:r w:rsidR="004D284D">
        <w:t xml:space="preserve"> and incorporate all retail costs into the consumption charge.</w:t>
      </w:r>
    </w:p>
    <w:p w14:paraId="78D7786D" w14:textId="77777777" w:rsidR="00826CAB" w:rsidRDefault="00826CAB" w:rsidP="00826CAB"/>
    <w:p w14:paraId="73C89081" w14:textId="2C90E70A" w:rsidR="0046035F" w:rsidRDefault="00CE069B" w:rsidP="00D0010B">
      <w:r>
        <w:t xml:space="preserve"> </w:t>
      </w:r>
    </w:p>
    <w:p w14:paraId="27BEA5C6" w14:textId="5D968DBE" w:rsidR="0046035F" w:rsidRDefault="0046035F" w:rsidP="00CE5762"/>
    <w:p w14:paraId="55290FA2" w14:textId="2349903F" w:rsidR="00952993" w:rsidRDefault="00952993">
      <w:pPr>
        <w:spacing w:before="200"/>
      </w:pPr>
      <w:r>
        <w:br w:type="page"/>
      </w:r>
    </w:p>
    <w:p w14:paraId="06085620" w14:textId="4CA9CCC4" w:rsidR="00930888" w:rsidRDefault="00474109" w:rsidP="00952993">
      <w:pPr>
        <w:pStyle w:val="Heading1"/>
      </w:pPr>
      <w:bookmarkStart w:id="16" w:name="_Toc487183910"/>
      <w:r>
        <w:t>Consumer education has its limits</w:t>
      </w:r>
      <w:bookmarkEnd w:id="16"/>
    </w:p>
    <w:p w14:paraId="7CCEEA6D" w14:textId="162980B5" w:rsidR="0099724A" w:rsidRDefault="0031092D" w:rsidP="00700BC1">
      <w:r>
        <w:t>Buying e</w:t>
      </w:r>
      <w:r w:rsidR="00FE4A2B">
        <w:t>lectricity in Victoria is daunting. The Victorian government’s Energy Compare comparat</w:t>
      </w:r>
      <w:r w:rsidR="000F6846">
        <w:t>or website has made the process</w:t>
      </w:r>
      <w:r w:rsidR="00FE4A2B">
        <w:t xml:space="preserve"> </w:t>
      </w:r>
      <w:r w:rsidR="0099724A">
        <w:t xml:space="preserve">somewhat easier and allowed people to access </w:t>
      </w:r>
      <w:r w:rsidR="00D05FC5">
        <w:t>objective information about energy deals. However, Energy Compare use</w:t>
      </w:r>
      <w:r w:rsidR="00FE4A2B">
        <w:t xml:space="preserve"> requires computer and internet access, computer literacy skills, general literacy skills, </w:t>
      </w:r>
      <w:r w:rsidR="004A472F">
        <w:t>English familiarity</w:t>
      </w:r>
      <w:r w:rsidR="00FE4A2B">
        <w:t xml:space="preserve">, and the space and time to search for better electricity deals. </w:t>
      </w:r>
      <w:r w:rsidR="000F6846">
        <w:t>Devoting</w:t>
      </w:r>
      <w:r w:rsidR="00FE4A2B">
        <w:t xml:space="preserve"> a lot of time to buying electricity may not be a priority, or even possible, where a person is experiencing family violence, major health problems</w:t>
      </w:r>
      <w:r w:rsidR="001701DE">
        <w:t xml:space="preserve"> </w:t>
      </w:r>
      <w:r w:rsidR="00FF7097">
        <w:t>or mental illness</w:t>
      </w:r>
      <w:r w:rsidR="00FE4A2B">
        <w:t xml:space="preserve">, </w:t>
      </w:r>
      <w:r w:rsidR="004A472F">
        <w:t>housing problems</w:t>
      </w:r>
      <w:r w:rsidR="00FE4A2B">
        <w:t>,</w:t>
      </w:r>
      <w:r w:rsidR="004A472F">
        <w:t xml:space="preserve"> overwhelming </w:t>
      </w:r>
      <w:r w:rsidR="00FE4A2B">
        <w:t>financial stress or other problems and life crises.</w:t>
      </w:r>
    </w:p>
    <w:p w14:paraId="07DFADAD" w14:textId="251882AB" w:rsidR="00D05FC5" w:rsidRDefault="00A61942" w:rsidP="00700BC1">
      <w:r>
        <w:t>People</w:t>
      </w:r>
      <w:r w:rsidR="00FF7097">
        <w:t xml:space="preserve"> experiencing vulnerability face</w:t>
      </w:r>
      <w:r w:rsidR="0099724A">
        <w:t xml:space="preserve"> considerable barriers to engagement. </w:t>
      </w:r>
      <w:r w:rsidR="0099724A">
        <w:rPr>
          <w:szCs w:val="22"/>
        </w:rPr>
        <w:t xml:space="preserve">Vulnerable people tend to have lower awareness of the number of retailers, and the availability of various plans from a single retailer. </w:t>
      </w:r>
      <w:r w:rsidR="00504CAE">
        <w:rPr>
          <w:szCs w:val="22"/>
        </w:rPr>
        <w:t>Most</w:t>
      </w:r>
      <w:r w:rsidR="0099724A">
        <w:rPr>
          <w:szCs w:val="22"/>
        </w:rPr>
        <w:t xml:space="preserve"> vulnerable people </w:t>
      </w:r>
      <w:r w:rsidR="00504CAE">
        <w:rPr>
          <w:szCs w:val="22"/>
        </w:rPr>
        <w:t>are concerned about prices but feel there is not much they can</w:t>
      </w:r>
      <w:r w:rsidR="0099724A">
        <w:rPr>
          <w:szCs w:val="22"/>
        </w:rPr>
        <w:t xml:space="preserve"> do. Fear of making the wrong decision and embarrassment about p</w:t>
      </w:r>
      <w:r w:rsidR="00FF7097">
        <w:rPr>
          <w:szCs w:val="22"/>
        </w:rPr>
        <w:t xml:space="preserve">ersonal financial situations </w:t>
      </w:r>
      <w:r w:rsidR="00504CAE">
        <w:rPr>
          <w:szCs w:val="22"/>
        </w:rPr>
        <w:t>are</w:t>
      </w:r>
      <w:r w:rsidR="0099724A">
        <w:rPr>
          <w:szCs w:val="22"/>
        </w:rPr>
        <w:t xml:space="preserve"> barriers to investigating options and switchin</w:t>
      </w:r>
      <w:r w:rsidR="00504CAE">
        <w:rPr>
          <w:szCs w:val="22"/>
        </w:rPr>
        <w:t>g. Many vulnerable people want to save money but find</w:t>
      </w:r>
      <w:r w:rsidR="0099724A">
        <w:rPr>
          <w:szCs w:val="22"/>
        </w:rPr>
        <w:t xml:space="preserve"> the array</w:t>
      </w:r>
      <w:r w:rsidR="00504CAE">
        <w:rPr>
          <w:szCs w:val="22"/>
        </w:rPr>
        <w:t xml:space="preserve"> of offers confusing, and lack</w:t>
      </w:r>
      <w:r w:rsidR="0099724A">
        <w:rPr>
          <w:szCs w:val="22"/>
        </w:rPr>
        <w:t xml:space="preserve"> the time and energy to properly engage with the market and find a better offer. </w:t>
      </w:r>
      <w:r w:rsidR="00124F94">
        <w:rPr>
          <w:szCs w:val="22"/>
        </w:rPr>
        <w:t>Research suggests</w:t>
      </w:r>
      <w:r w:rsidR="00D05FC5">
        <w:rPr>
          <w:szCs w:val="22"/>
        </w:rPr>
        <w:t xml:space="preserve"> m</w:t>
      </w:r>
      <w:r w:rsidR="0099724A">
        <w:rPr>
          <w:szCs w:val="22"/>
        </w:rPr>
        <w:t>ost vulnerable people require a noticeable trigger event to search for better deals, including the shock of receiving an unexpectedly large bill, moving house, reaching the end of a contract or increased prices</w:t>
      </w:r>
      <w:r w:rsidR="00D05FC5">
        <w:rPr>
          <w:szCs w:val="22"/>
        </w:rPr>
        <w:t>.</w:t>
      </w:r>
      <w:r w:rsidR="00D05FC5">
        <w:rPr>
          <w:rStyle w:val="FootnoteReference"/>
          <w:szCs w:val="22"/>
        </w:rPr>
        <w:footnoteReference w:id="47"/>
      </w:r>
    </w:p>
    <w:p w14:paraId="700DA2A8" w14:textId="5C29CA40" w:rsidR="00D05FC5" w:rsidRDefault="00D05FC5" w:rsidP="00700BC1">
      <w:pPr>
        <w:rPr>
          <w:szCs w:val="22"/>
          <w:lang w:val="en-AU"/>
        </w:rPr>
      </w:pPr>
      <w:r>
        <w:t>VCOSS regularly consults with members about energy i</w:t>
      </w:r>
      <w:r w:rsidR="00504CAE">
        <w:t>ssues. VCOSS members report</w:t>
      </w:r>
      <w:r>
        <w:t xml:space="preserve"> peopl</w:t>
      </w:r>
      <w:r w:rsidR="00F95D2B">
        <w:t xml:space="preserve">e are increasingly worn down by the process of buying </w:t>
      </w:r>
      <w:r>
        <w:t>energy and trying to understanding their bills. Qualitative research conducted by RMIT for VCOSS (forthcoming, July 2017) shows people feeling</w:t>
      </w:r>
      <w:r w:rsidRPr="005D30B8">
        <w:rPr>
          <w:szCs w:val="22"/>
          <w:lang w:val="en-AU"/>
        </w:rPr>
        <w:t xml:space="preserve"> frustration, anger, disadv</w:t>
      </w:r>
      <w:r w:rsidR="00FF7097">
        <w:rPr>
          <w:szCs w:val="22"/>
          <w:lang w:val="en-AU"/>
        </w:rPr>
        <w:t>antage and/or powerlessness as energy buyers.</w:t>
      </w:r>
      <w:r>
        <w:rPr>
          <w:szCs w:val="22"/>
          <w:lang w:val="en-AU"/>
        </w:rPr>
        <w:t xml:space="preserve"> Some people interviewed for that study felt the time</w:t>
      </w:r>
      <w:r w:rsidRPr="005D30B8">
        <w:rPr>
          <w:szCs w:val="22"/>
          <w:lang w:val="en-AU"/>
        </w:rPr>
        <w:t xml:space="preserve"> required to understand tariffs and their rights was unreasonable.</w:t>
      </w:r>
      <w:r w:rsidR="00012C12">
        <w:rPr>
          <w:szCs w:val="22"/>
          <w:lang w:val="en-AU"/>
        </w:rPr>
        <w:t xml:space="preserve"> </w:t>
      </w:r>
    </w:p>
    <w:p w14:paraId="77867B4A" w14:textId="066A7A02" w:rsidR="00012C12" w:rsidRDefault="00504CAE" w:rsidP="00012C12">
      <w:r>
        <w:t>A UK study of vulnerable households showed i</w:t>
      </w:r>
      <w:r w:rsidR="00012C12">
        <w:t>ndependent, one-on-one, pers</w:t>
      </w:r>
      <w:r>
        <w:t>onalised intervention encourages</w:t>
      </w:r>
      <w:r w:rsidR="00012C12">
        <w:t xml:space="preserve"> switching, particularly for young families. The ‘intervention’ took the form of tailored advice on tariff-switching, printed information materials, help accessing websites, and follow-up support. This type of assistance was particularly necessary for people experiencing complex lives, including significant health and financial problems. In these circumstances, time is limited and tariff-switching far from a priority.</w:t>
      </w:r>
      <w:r w:rsidR="00012C12">
        <w:rPr>
          <w:rStyle w:val="FootnoteReference"/>
        </w:rPr>
        <w:footnoteReference w:id="48"/>
      </w:r>
    </w:p>
    <w:p w14:paraId="2DA1A02A" w14:textId="6916894C" w:rsidR="00012C12" w:rsidRDefault="00012C12" w:rsidP="00012C12">
      <w:pPr>
        <w:rPr>
          <w:szCs w:val="22"/>
          <w:lang w:val="en-AU"/>
        </w:rPr>
      </w:pPr>
      <w:r>
        <w:t>However, even these types of strat</w:t>
      </w:r>
      <w:r w:rsidR="00504CAE">
        <w:t xml:space="preserve">egies to improve engagement </w:t>
      </w:r>
      <w:r>
        <w:t xml:space="preserve">have their limits. </w:t>
      </w:r>
      <w:r w:rsidR="00504CAE">
        <w:rPr>
          <w:szCs w:val="22"/>
          <w:lang w:val="en-AU"/>
        </w:rPr>
        <w:t>In a</w:t>
      </w:r>
      <w:r w:rsidR="00125346">
        <w:rPr>
          <w:szCs w:val="22"/>
          <w:lang w:val="en-AU"/>
        </w:rPr>
        <w:t>n</w:t>
      </w:r>
      <w:r w:rsidR="00504CAE">
        <w:rPr>
          <w:szCs w:val="22"/>
          <w:lang w:val="en-AU"/>
        </w:rPr>
        <w:t xml:space="preserve"> RMIT</w:t>
      </w:r>
      <w:r>
        <w:rPr>
          <w:szCs w:val="22"/>
          <w:lang w:val="en-AU"/>
        </w:rPr>
        <w:t xml:space="preserve"> study of households with children, people had low engagement with tariff and retailer choice. Many parents had little time, interest or trust to investigate tariff choice and energy information. The researchers concluded that providing more information through websites or printed materials was unlikely to resolve the issue.</w:t>
      </w:r>
      <w:r>
        <w:rPr>
          <w:rStyle w:val="FootnoteReference"/>
          <w:szCs w:val="22"/>
          <w:lang w:val="en-AU"/>
        </w:rPr>
        <w:footnoteReference w:id="49"/>
      </w:r>
      <w:r>
        <w:rPr>
          <w:szCs w:val="22"/>
          <w:lang w:val="en-AU"/>
        </w:rPr>
        <w:t xml:space="preserve"> </w:t>
      </w:r>
    </w:p>
    <w:p w14:paraId="2EABA6CA" w14:textId="209E1C73" w:rsidR="00CD666C" w:rsidRDefault="00F176FD" w:rsidP="00700BC1">
      <w:r>
        <w:t>While some groups of people will continue to benefit from consumer education and engagement</w:t>
      </w:r>
      <w:r w:rsidR="00125346">
        <w:t xml:space="preserve"> strategies</w:t>
      </w:r>
      <w:r>
        <w:t>, the</w:t>
      </w:r>
      <w:r w:rsidR="00D05FC5">
        <w:t xml:space="preserve"> electricity market </w:t>
      </w:r>
      <w:r>
        <w:t>needs to cater to</w:t>
      </w:r>
      <w:r w:rsidR="00D05FC5">
        <w:t xml:space="preserve"> people who face insurmountable barriers to engagement and being a ‘better consumer’.</w:t>
      </w:r>
      <w:r w:rsidR="00270323">
        <w:t xml:space="preserve"> Not everyone has the skills and resources to engage with the market. </w:t>
      </w:r>
      <w:r>
        <w:t xml:space="preserve">It is </w:t>
      </w:r>
      <w:r w:rsidR="00F95D2B">
        <w:t xml:space="preserve">time for the ‘mountain to come to Mohammed’ and </w:t>
      </w:r>
      <w:r w:rsidR="00FF7097">
        <w:t>take</w:t>
      </w:r>
      <w:r w:rsidR="00070741">
        <w:t xml:space="preserve"> some of</w:t>
      </w:r>
      <w:r w:rsidR="00FF7097">
        <w:t xml:space="preserve"> the hard work </w:t>
      </w:r>
      <w:r w:rsidR="009C3893">
        <w:t>out of buying electr</w:t>
      </w:r>
      <w:r w:rsidR="00270323">
        <w:t>icity. Transparent pricing can</w:t>
      </w:r>
      <w:r w:rsidR="009C3893">
        <w:t xml:space="preserve"> help, along </w:t>
      </w:r>
      <w:r w:rsidR="00270323">
        <w:t xml:space="preserve">with introducing </w:t>
      </w:r>
      <w:r w:rsidR="009C3893">
        <w:t>an independent energy broker.</w:t>
      </w:r>
    </w:p>
    <w:p w14:paraId="588F291D" w14:textId="36F8D5AE" w:rsidR="00FF7097" w:rsidRDefault="00CD666C" w:rsidP="00CD666C">
      <w:pPr>
        <w:pStyle w:val="Heading2"/>
      </w:pPr>
      <w:bookmarkStart w:id="17" w:name="_Toc487183911"/>
      <w:r>
        <w:t>Independent energy broker</w:t>
      </w:r>
      <w:bookmarkEnd w:id="17"/>
      <w:r w:rsidR="00FF7097">
        <w:t xml:space="preserve"> </w:t>
      </w:r>
    </w:p>
    <w:p w14:paraId="2E30664C" w14:textId="77777777" w:rsidR="00062374" w:rsidRDefault="00062374" w:rsidP="00062374">
      <w:pPr>
        <w:pStyle w:val="Boxheading"/>
      </w:pPr>
      <w:r w:rsidRPr="003B583C">
        <w:t>Recommendation</w:t>
      </w:r>
    </w:p>
    <w:p w14:paraId="11D135CC" w14:textId="77777777" w:rsidR="00062374" w:rsidRPr="009C3893" w:rsidRDefault="00062374" w:rsidP="00062374">
      <w:pPr>
        <w:pStyle w:val="Boxtext"/>
      </w:pPr>
      <w:r>
        <w:t>Examine the benefits of an independent energy brokerage service for residential customers.</w:t>
      </w:r>
    </w:p>
    <w:p w14:paraId="4B15CAB3" w14:textId="269E14E2" w:rsidR="00F95D2B" w:rsidRDefault="006F625B" w:rsidP="00700BC1">
      <w:r>
        <w:t xml:space="preserve">Similar to previous reports, the AER observes ‘while concessions represent an important saving for eligible households … many households can achieve significant savings just by switching </w:t>
      </w:r>
      <w:r w:rsidR="00125346">
        <w:t xml:space="preserve">to </w:t>
      </w:r>
      <w:r>
        <w:t>a cheaper offer’.</w:t>
      </w:r>
      <w:r>
        <w:rPr>
          <w:rStyle w:val="FootnoteReference"/>
        </w:rPr>
        <w:footnoteReference w:id="50"/>
      </w:r>
      <w:r>
        <w:t xml:space="preserve"> For the reasons we have noted, some low income or disadvantaged households will find it difficult to identify cheaper offers and switch retailers.</w:t>
      </w:r>
    </w:p>
    <w:p w14:paraId="356173CA" w14:textId="1993F4FA" w:rsidR="0020752B" w:rsidRDefault="00270323" w:rsidP="00700BC1">
      <w:r>
        <w:t>To</w:t>
      </w:r>
      <w:r w:rsidR="006F625B">
        <w:t xml:space="preserve"> improve competition and </w:t>
      </w:r>
      <w:r>
        <w:t>provide</w:t>
      </w:r>
      <w:r w:rsidR="006F625B">
        <w:t xml:space="preserve"> better access to more affordable energy offers, </w:t>
      </w:r>
      <w:r>
        <w:t>VCOSS recommends</w:t>
      </w:r>
      <w:r w:rsidR="000F6846">
        <w:t xml:space="preserve"> consider</w:t>
      </w:r>
      <w:r>
        <w:t>ation of</w:t>
      </w:r>
      <w:r w:rsidR="000F6846">
        <w:t xml:space="preserve"> an independent energy br</w:t>
      </w:r>
      <w:r w:rsidR="00C459B5">
        <w:t xml:space="preserve">oker for residential customers. </w:t>
      </w:r>
      <w:r w:rsidR="000F6846">
        <w:t>Separately, the Victorian government has funded in the 2017-18 budget a small-scale energy brokerage pilot scheme aimed</w:t>
      </w:r>
      <w:r w:rsidR="00125346">
        <w:t xml:space="preserve"> at</w:t>
      </w:r>
      <w:r w:rsidR="000F6846">
        <w:t xml:space="preserve"> assisting people in hardship programs and people from culturally and linguistically diverse backgrounds.</w:t>
      </w:r>
      <w:r w:rsidR="0099724A">
        <w:t xml:space="preserve"> In tandem with transparent energy pricing, we consider an independent energy broker (for all energy customers) </w:t>
      </w:r>
      <w:r w:rsidR="006F625B">
        <w:t xml:space="preserve">can </w:t>
      </w:r>
      <w:r w:rsidR="006F625B">
        <w:rPr>
          <w:szCs w:val="22"/>
        </w:rPr>
        <w:t>provide one-on-one, personalised supports, in a similar way to emerging private brokerages in Victoria, such as the ‘Energy Tailors’ service. An independent broker could:</w:t>
      </w:r>
    </w:p>
    <w:p w14:paraId="50B25FF9" w14:textId="499A7449" w:rsidR="0099724A" w:rsidRDefault="0099724A" w:rsidP="00476907">
      <w:pPr>
        <w:pStyle w:val="ListParagraph"/>
        <w:numPr>
          <w:ilvl w:val="0"/>
          <w:numId w:val="11"/>
        </w:numPr>
      </w:pPr>
      <w:r>
        <w:t xml:space="preserve">encourage greater price competition by providing a relatively easy and no-cost way for people to compare energy offers, particularly for people who cannot use the Energy Compare service—in effect, it can create the marketplace that Energy Compare may not be able to create as a price comparison website alone </w:t>
      </w:r>
    </w:p>
    <w:p w14:paraId="6618B204" w14:textId="456C0104" w:rsidR="0099724A" w:rsidRDefault="0099724A" w:rsidP="00476907">
      <w:pPr>
        <w:pStyle w:val="ListParagraph"/>
        <w:numPr>
          <w:ilvl w:val="0"/>
          <w:numId w:val="10"/>
        </w:numPr>
        <w:rPr>
          <w:sz w:val="14"/>
          <w:szCs w:val="14"/>
        </w:rPr>
      </w:pPr>
      <w:r>
        <w:t>encourage switching and help counteract people’s inertia and bias by giving them confidence to take up better-priced energy offers (people would know that all available offers in the market had been analysed), conducting regular ‘check-ups’ to search for better deals, and assisting with the switching process itself</w:t>
      </w:r>
      <w:r>
        <w:rPr>
          <w:rStyle w:val="FootnoteReference"/>
        </w:rPr>
        <w:footnoteReference w:id="51"/>
      </w:r>
      <w:r w:rsidRPr="0099724A">
        <w:rPr>
          <w:sz w:val="14"/>
          <w:szCs w:val="14"/>
        </w:rPr>
        <w:t xml:space="preserve"> </w:t>
      </w:r>
    </w:p>
    <w:p w14:paraId="5D5D75D3" w14:textId="1731C702" w:rsidR="006F625B" w:rsidRPr="00D95205" w:rsidRDefault="006F625B" w:rsidP="00476907">
      <w:pPr>
        <w:pStyle w:val="ListParagraph"/>
        <w:numPr>
          <w:ilvl w:val="0"/>
          <w:numId w:val="10"/>
        </w:numPr>
      </w:pPr>
      <w:r>
        <w:rPr>
          <w:szCs w:val="22"/>
        </w:rPr>
        <w:t xml:space="preserve">assist </w:t>
      </w:r>
      <w:r w:rsidRPr="00D95205">
        <w:rPr>
          <w:szCs w:val="22"/>
        </w:rPr>
        <w:t>professionals who already have contact with people experiencing energy difficulties, but are unable to assi</w:t>
      </w:r>
      <w:r w:rsidR="00270323">
        <w:rPr>
          <w:szCs w:val="22"/>
        </w:rPr>
        <w:t xml:space="preserve">st with searching and switching, </w:t>
      </w:r>
      <w:r w:rsidRPr="00D95205">
        <w:rPr>
          <w:szCs w:val="22"/>
        </w:rPr>
        <w:t>including health workers, financial counsel</w:t>
      </w:r>
      <w:r w:rsidR="00FC4BF9">
        <w:rPr>
          <w:szCs w:val="22"/>
        </w:rPr>
        <w:t>lors, and community caseworkers</w:t>
      </w:r>
      <w:r w:rsidRPr="00D95205">
        <w:rPr>
          <w:szCs w:val="22"/>
        </w:rPr>
        <w:t xml:space="preserve"> </w:t>
      </w:r>
    </w:p>
    <w:p w14:paraId="657E1A75" w14:textId="77777777" w:rsidR="006F625B" w:rsidRPr="00FA7650" w:rsidRDefault="006F625B" w:rsidP="00476907">
      <w:pPr>
        <w:pStyle w:val="ListParagraph"/>
        <w:numPr>
          <w:ilvl w:val="0"/>
          <w:numId w:val="10"/>
        </w:numPr>
      </w:pPr>
      <w:proofErr w:type="gramStart"/>
      <w:r>
        <w:rPr>
          <w:szCs w:val="22"/>
        </w:rPr>
        <w:t>conduct</w:t>
      </w:r>
      <w:proofErr w:type="gramEnd"/>
      <w:r>
        <w:rPr>
          <w:szCs w:val="22"/>
        </w:rPr>
        <w:t xml:space="preserve"> proactive searches </w:t>
      </w:r>
      <w:r w:rsidRPr="00D95205">
        <w:rPr>
          <w:szCs w:val="22"/>
        </w:rPr>
        <w:t>for people receiving concession discounts and</w:t>
      </w:r>
      <w:r>
        <w:rPr>
          <w:szCs w:val="22"/>
        </w:rPr>
        <w:t xml:space="preserve"> provide</w:t>
      </w:r>
      <w:r w:rsidRPr="00D95205">
        <w:rPr>
          <w:szCs w:val="22"/>
        </w:rPr>
        <w:t xml:space="preserve"> information about better value energy deals. At the moment, government is subsidising the costs of relatively poor value energy </w:t>
      </w:r>
      <w:r>
        <w:rPr>
          <w:szCs w:val="22"/>
        </w:rPr>
        <w:t>offers</w:t>
      </w:r>
    </w:p>
    <w:p w14:paraId="1C8BBE22" w14:textId="73BE1CFD" w:rsidR="00FA7650" w:rsidRPr="00D95205" w:rsidRDefault="00FA7650" w:rsidP="00476907">
      <w:pPr>
        <w:pStyle w:val="ListParagraph"/>
        <w:numPr>
          <w:ilvl w:val="0"/>
          <w:numId w:val="10"/>
        </w:numPr>
      </w:pPr>
      <w:r>
        <w:rPr>
          <w:szCs w:val="22"/>
        </w:rPr>
        <w:t>conduct proactive searches for ‘disengaged customers’; that is, those who have not been active in the market for a certain amount of time (this would require sharing customer data with the broker)</w:t>
      </w:r>
    </w:p>
    <w:p w14:paraId="433B84AB" w14:textId="6D96C380" w:rsidR="006F625B" w:rsidRPr="006F625B" w:rsidRDefault="006F625B" w:rsidP="00476907">
      <w:pPr>
        <w:pStyle w:val="ListParagraph"/>
        <w:numPr>
          <w:ilvl w:val="0"/>
          <w:numId w:val="10"/>
        </w:numPr>
      </w:pPr>
      <w:proofErr w:type="gramStart"/>
      <w:r>
        <w:rPr>
          <w:szCs w:val="22"/>
        </w:rPr>
        <w:t>search</w:t>
      </w:r>
      <w:proofErr w:type="gramEnd"/>
      <w:r>
        <w:rPr>
          <w:szCs w:val="22"/>
        </w:rPr>
        <w:t xml:space="preserve"> for energy offers at the end of benefit or contract periods. This could involve mandating retailers to refer people to the energy broker at the end of these periods—a particularly important function given the ambiguity surrounding benefit periods and pricing under contracts with lapsed benefit periods</w:t>
      </w:r>
    </w:p>
    <w:p w14:paraId="5C722622" w14:textId="6776D5C5" w:rsidR="0099724A" w:rsidRDefault="0099724A" w:rsidP="00476907">
      <w:pPr>
        <w:pStyle w:val="ListParagraph"/>
        <w:numPr>
          <w:ilvl w:val="0"/>
          <w:numId w:val="10"/>
        </w:numPr>
      </w:pPr>
      <w:r>
        <w:t xml:space="preserve">provide feedback to government on the level of pricing transparency in the market and ease of comparability </w:t>
      </w:r>
    </w:p>
    <w:p w14:paraId="222DC8A9" w14:textId="315D522D" w:rsidR="0099724A" w:rsidRDefault="0099724A" w:rsidP="00476907">
      <w:pPr>
        <w:pStyle w:val="ListParagraph"/>
        <w:numPr>
          <w:ilvl w:val="0"/>
          <w:numId w:val="10"/>
        </w:numPr>
      </w:pPr>
      <w:proofErr w:type="gramStart"/>
      <w:r>
        <w:t>generate</w:t>
      </w:r>
      <w:proofErr w:type="gramEnd"/>
      <w:r>
        <w:t xml:space="preserve"> data about customer outcomes in the market. </w:t>
      </w:r>
    </w:p>
    <w:p w14:paraId="790F6BF8" w14:textId="33A6858B" w:rsidR="00D05FC5" w:rsidRDefault="0099724A" w:rsidP="006F625B">
      <w:pPr>
        <w:rPr>
          <w:szCs w:val="22"/>
        </w:rPr>
      </w:pPr>
      <w:r>
        <w:rPr>
          <w:szCs w:val="22"/>
        </w:rPr>
        <w:t xml:space="preserve">An energy broker </w:t>
      </w:r>
      <w:r w:rsidR="006F625B">
        <w:rPr>
          <w:szCs w:val="22"/>
        </w:rPr>
        <w:t>could also</w:t>
      </w:r>
      <w:r>
        <w:rPr>
          <w:szCs w:val="22"/>
        </w:rPr>
        <w:t xml:space="preserve"> help overcome people’s limited ability to understand tariff structures (fixed and usage charges, time-of-use rates and so on); the difference between market and standing offers; choice of retailers; the various plans offered by an individual retailer; and household energy requirements.</w:t>
      </w:r>
      <w:r>
        <w:rPr>
          <w:rStyle w:val="FootnoteReference"/>
          <w:szCs w:val="22"/>
        </w:rPr>
        <w:footnoteReference w:id="52"/>
      </w:r>
      <w:r w:rsidR="006F625B">
        <w:rPr>
          <w:szCs w:val="22"/>
        </w:rPr>
        <w:t xml:space="preserve"> </w:t>
      </w:r>
    </w:p>
    <w:p w14:paraId="4974733C" w14:textId="542F105D" w:rsidR="0090635B" w:rsidRDefault="0090635B" w:rsidP="006F625B">
      <w:pPr>
        <w:rPr>
          <w:szCs w:val="22"/>
        </w:rPr>
      </w:pPr>
      <w:r>
        <w:rPr>
          <w:szCs w:val="22"/>
        </w:rPr>
        <w:t xml:space="preserve">The ACCC could </w:t>
      </w:r>
      <w:r w:rsidR="003B583C">
        <w:rPr>
          <w:szCs w:val="22"/>
        </w:rPr>
        <w:t>examine</w:t>
      </w:r>
      <w:r>
        <w:rPr>
          <w:szCs w:val="22"/>
        </w:rPr>
        <w:t xml:space="preserve"> whether a</w:t>
      </w:r>
      <w:r w:rsidR="00F474BF">
        <w:rPr>
          <w:szCs w:val="22"/>
        </w:rPr>
        <w:t xml:space="preserve"> brokerage model could</w:t>
      </w:r>
      <w:r>
        <w:rPr>
          <w:szCs w:val="22"/>
        </w:rPr>
        <w:t xml:space="preserve"> improve people’s understanding of electricity offers, overcome </w:t>
      </w:r>
      <w:r w:rsidR="00F474BF">
        <w:rPr>
          <w:szCs w:val="22"/>
        </w:rPr>
        <w:t>fundamental barriers</w:t>
      </w:r>
      <w:r>
        <w:rPr>
          <w:szCs w:val="22"/>
        </w:rPr>
        <w:t xml:space="preserve"> to market engagement for people facing disadvantage, enable greater price transparency, and facilitate competition and more affordable electricity pricing.</w:t>
      </w:r>
    </w:p>
    <w:p w14:paraId="7A8CA079" w14:textId="77777777" w:rsidR="009C3893" w:rsidRDefault="009C3893" w:rsidP="009C3893"/>
    <w:p w14:paraId="56B1644B" w14:textId="77777777" w:rsidR="00062374" w:rsidRPr="009C3893" w:rsidRDefault="00062374" w:rsidP="009C3893">
      <w:pPr>
        <w:sectPr w:rsidR="00062374" w:rsidRPr="009C3893" w:rsidSect="00BF4B30">
          <w:pgSz w:w="11900" w:h="16840"/>
          <w:pgMar w:top="1985" w:right="1134" w:bottom="1134" w:left="1134" w:header="709" w:footer="389" w:gutter="0"/>
          <w:pgNumType w:start="1"/>
          <w:cols w:space="708"/>
          <w:docGrid w:linePitch="360"/>
        </w:sectPr>
      </w:pPr>
    </w:p>
    <w:p w14:paraId="239D4852" w14:textId="77777777" w:rsidR="005D2943" w:rsidRPr="009519D2" w:rsidRDefault="0037078A" w:rsidP="00CE5762">
      <w:r>
        <w:rPr>
          <w:noProof/>
          <w:lang w:val="en-AU" w:eastAsia="en-AU"/>
        </w:rPr>
        <w:drawing>
          <wp:anchor distT="0" distB="0" distL="114300" distR="114300" simplePos="0" relativeHeight="251665408" behindDoc="1" locked="0" layoutInCell="1" allowOverlap="1" wp14:anchorId="18DDF41F" wp14:editId="15EB1518">
            <wp:simplePos x="0" y="0"/>
            <wp:positionH relativeFrom="page">
              <wp:posOffset>0</wp:posOffset>
            </wp:positionH>
            <wp:positionV relativeFrom="page">
              <wp:posOffset>5358</wp:posOffset>
            </wp:positionV>
            <wp:extent cx="7558860" cy="10681412"/>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18">
                      <a:extLst>
                        <a:ext uri="{28A0092B-C50C-407E-A947-70E740481C1C}">
                          <a14:useLocalDpi xmlns:a14="http://schemas.microsoft.com/office/drawing/2010/main" val="0"/>
                        </a:ext>
                      </a:extLst>
                    </a:blip>
                    <a:stretch>
                      <a:fillRect/>
                    </a:stretch>
                  </pic:blipFill>
                  <pic:spPr>
                    <a:xfrm>
                      <a:off x="0" y="0"/>
                      <a:ext cx="7558860" cy="1068141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5D2943" w:rsidRPr="009519D2"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8E8D58" w14:textId="77777777" w:rsidR="00D4635F" w:rsidRDefault="00D4635F" w:rsidP="00CE5762">
      <w:r>
        <w:separator/>
      </w:r>
    </w:p>
  </w:endnote>
  <w:endnote w:type="continuationSeparator" w:id="0">
    <w:p w14:paraId="07147DE1" w14:textId="77777777" w:rsidR="00D4635F" w:rsidRDefault="00D4635F"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14:paraId="52B30EF6" w14:textId="77777777" w:rsidR="00D4635F" w:rsidRPr="00007C97" w:rsidRDefault="00D4635F"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14:paraId="3A51E662" w14:textId="77777777" w:rsidR="00D4635F" w:rsidRPr="00007C97" w:rsidRDefault="00D4635F"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4C7BF" w14:textId="2E0B4B3B" w:rsidR="00D4635F" w:rsidRPr="00583743" w:rsidRDefault="00062374" w:rsidP="00CE5762">
    <w:pPr>
      <w:pStyle w:val="Footer"/>
      <w:rPr>
        <w:rStyle w:val="PageNumber"/>
        <w:sz w:val="18"/>
        <w:szCs w:val="18"/>
      </w:rPr>
    </w:pPr>
    <w:r>
      <w:t>R</w:t>
    </w:r>
    <w:r w:rsidR="00D4635F">
      <w:t>etail electricity</w:t>
    </w:r>
    <w:r>
      <w:t xml:space="preserve"> supply and pricing</w:t>
    </w:r>
    <w:r w:rsidR="00D4635F">
      <w:tab/>
    </w:r>
    <w:r w:rsidR="00D4635F">
      <w:tab/>
    </w:r>
    <w:r w:rsidR="00D4635F">
      <w:tab/>
    </w:r>
    <w:r w:rsidR="00D4635F" w:rsidRPr="00583743">
      <w:rPr>
        <w:rStyle w:val="PageNumber"/>
        <w:sz w:val="18"/>
        <w:szCs w:val="18"/>
      </w:rPr>
      <w:fldChar w:fldCharType="begin"/>
    </w:r>
    <w:r w:rsidR="00D4635F" w:rsidRPr="00583743">
      <w:rPr>
        <w:rStyle w:val="PageNumber"/>
        <w:sz w:val="18"/>
        <w:szCs w:val="18"/>
      </w:rPr>
      <w:instrText xml:space="preserve">PAGE  </w:instrText>
    </w:r>
    <w:r w:rsidR="00D4635F" w:rsidRPr="00583743">
      <w:rPr>
        <w:rStyle w:val="PageNumber"/>
        <w:sz w:val="18"/>
        <w:szCs w:val="18"/>
      </w:rPr>
      <w:fldChar w:fldCharType="separate"/>
    </w:r>
    <w:r w:rsidR="00952F6F">
      <w:rPr>
        <w:rStyle w:val="PageNumber"/>
        <w:noProof/>
        <w:sz w:val="18"/>
        <w:szCs w:val="18"/>
      </w:rPr>
      <w:t>20</w:t>
    </w:r>
    <w:r w:rsidR="00D4635F" w:rsidRPr="00583743">
      <w:rPr>
        <w:rStyle w:val="PageNumber"/>
        <w:sz w:val="18"/>
        <w:szCs w:val="18"/>
      </w:rPr>
      <w:fldChar w:fldCharType="end"/>
    </w:r>
  </w:p>
  <w:p w14:paraId="54EFE9D7" w14:textId="77777777" w:rsidR="00D4635F" w:rsidRPr="00583743" w:rsidRDefault="00D4635F" w:rsidP="00CE5762">
    <w:pPr>
      <w:pStyle w:val="Basic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14A43B" w14:textId="77777777" w:rsidR="00D4635F" w:rsidRDefault="00D4635F" w:rsidP="00CE5762">
      <w:r>
        <w:separator/>
      </w:r>
    </w:p>
  </w:footnote>
  <w:footnote w:type="continuationSeparator" w:id="0">
    <w:p w14:paraId="247B3295" w14:textId="77777777" w:rsidR="00D4635F" w:rsidRDefault="00D4635F" w:rsidP="00CE5762">
      <w:r>
        <w:continuationSeparator/>
      </w:r>
    </w:p>
  </w:footnote>
  <w:footnote w:id="1">
    <w:p w14:paraId="4B07D1D1" w14:textId="05737478" w:rsidR="00D4635F" w:rsidRPr="00F864F4" w:rsidRDefault="00D4635F" w:rsidP="00D771E7">
      <w:pPr>
        <w:pStyle w:val="FootnoteText"/>
        <w:rPr>
          <w:rFonts w:cs="Arial"/>
          <w:sz w:val="20"/>
        </w:rPr>
      </w:pPr>
      <w:r w:rsidRPr="00F864F4">
        <w:rPr>
          <w:rStyle w:val="FootnoteReference"/>
          <w:rFonts w:cs="Arial"/>
          <w:sz w:val="20"/>
        </w:rPr>
        <w:footnoteRef/>
      </w:r>
      <w:r w:rsidRPr="00F864F4">
        <w:rPr>
          <w:rFonts w:cs="Arial"/>
          <w:sz w:val="20"/>
        </w:rPr>
        <w:t xml:space="preserve"> St Vincent de Paul Society and Alviss Consulting, </w:t>
      </w:r>
      <w:r w:rsidRPr="00F864F4">
        <w:rPr>
          <w:rFonts w:cs="Arial"/>
          <w:i/>
          <w:iCs/>
          <w:sz w:val="20"/>
        </w:rPr>
        <w:t>The NEM: A hazy retail maze—Observations from Vinnies’ tariff-tracking project</w:t>
      </w:r>
      <w:r w:rsidRPr="00F864F4">
        <w:rPr>
          <w:rFonts w:cs="Arial"/>
          <w:sz w:val="20"/>
        </w:rPr>
        <w:t xml:space="preserve">, December 2016, 9; Australian Energy Regulator, </w:t>
      </w:r>
      <w:r w:rsidRPr="00F864F4">
        <w:rPr>
          <w:rFonts w:cs="Arial"/>
          <w:i/>
          <w:sz w:val="20"/>
        </w:rPr>
        <w:t>State of the Energy Market: May 2017</w:t>
      </w:r>
      <w:r w:rsidRPr="00F864F4">
        <w:rPr>
          <w:rFonts w:cs="Arial"/>
          <w:sz w:val="20"/>
        </w:rPr>
        <w:t>, 2017, 129.</w:t>
      </w:r>
    </w:p>
  </w:footnote>
  <w:footnote w:id="2">
    <w:p w14:paraId="658EF145" w14:textId="77777777" w:rsidR="00D4635F" w:rsidRPr="00F864F4" w:rsidRDefault="00D4635F" w:rsidP="00B51FD8">
      <w:pPr>
        <w:pStyle w:val="FootnoteText"/>
        <w:rPr>
          <w:rFonts w:cs="Arial"/>
          <w:sz w:val="20"/>
        </w:rPr>
      </w:pPr>
      <w:r w:rsidRPr="00F864F4">
        <w:rPr>
          <w:rStyle w:val="FootnoteReference"/>
          <w:rFonts w:cs="Arial"/>
          <w:sz w:val="20"/>
        </w:rPr>
        <w:footnoteRef/>
      </w:r>
      <w:r w:rsidRPr="00F864F4">
        <w:rPr>
          <w:rFonts w:cs="Arial"/>
          <w:sz w:val="20"/>
        </w:rPr>
        <w:t xml:space="preserve"> Ben Phillips, </w:t>
      </w:r>
      <w:r w:rsidRPr="00F864F4">
        <w:rPr>
          <w:rFonts w:cs="Arial"/>
          <w:i/>
          <w:iCs/>
          <w:sz w:val="20"/>
        </w:rPr>
        <w:t>Research note: Household energy costs in Australia 2006 to 2016</w:t>
      </w:r>
      <w:r w:rsidRPr="00F864F4">
        <w:rPr>
          <w:rFonts w:cs="Arial"/>
          <w:sz w:val="20"/>
        </w:rPr>
        <w:t xml:space="preserve">, ANU Centre for Social Research and Methods, February 2017. </w:t>
      </w:r>
    </w:p>
  </w:footnote>
  <w:footnote w:id="3">
    <w:p w14:paraId="154DC9ED" w14:textId="69803F4D"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South Australian Council of Social Service, </w:t>
      </w:r>
      <w:r w:rsidRPr="00F864F4">
        <w:rPr>
          <w:rFonts w:cs="Arial"/>
          <w:i/>
          <w:iCs/>
          <w:sz w:val="20"/>
        </w:rPr>
        <w:t>SACOSS Cost of Living Update: No. 30, March Quarter 2017</w:t>
      </w:r>
      <w:r w:rsidRPr="00F864F4">
        <w:rPr>
          <w:rFonts w:cs="Arial"/>
          <w:sz w:val="20"/>
        </w:rPr>
        <w:t xml:space="preserve">, 2017; Australian Bureau of Statistics, Wage Price Index, </w:t>
      </w:r>
      <w:proofErr w:type="gramStart"/>
      <w:r w:rsidRPr="00F864F4">
        <w:rPr>
          <w:rFonts w:cs="Arial"/>
          <w:sz w:val="20"/>
        </w:rPr>
        <w:t>March</w:t>
      </w:r>
      <w:proofErr w:type="gramEnd"/>
      <w:r w:rsidRPr="00F864F4">
        <w:rPr>
          <w:rFonts w:cs="Arial"/>
          <w:sz w:val="20"/>
        </w:rPr>
        <w:t xml:space="preserve"> Quarter 2017, cat. </w:t>
      </w:r>
      <w:proofErr w:type="gramStart"/>
      <w:r w:rsidRPr="00F864F4">
        <w:rPr>
          <w:rFonts w:cs="Arial"/>
          <w:sz w:val="20"/>
        </w:rPr>
        <w:t>no</w:t>
      </w:r>
      <w:proofErr w:type="gramEnd"/>
      <w:r w:rsidRPr="00F864F4">
        <w:rPr>
          <w:rFonts w:cs="Arial"/>
          <w:sz w:val="20"/>
        </w:rPr>
        <w:t xml:space="preserve">. 6345.0.  </w:t>
      </w:r>
    </w:p>
  </w:footnote>
  <w:footnote w:id="4">
    <w:p w14:paraId="777EE24D" w14:textId="4FD0EA13"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Councils of Social Service, </w:t>
      </w:r>
      <w:r w:rsidRPr="00F864F4">
        <w:rPr>
          <w:rFonts w:cs="Arial"/>
          <w:i/>
          <w:iCs/>
          <w:sz w:val="20"/>
        </w:rPr>
        <w:t>Payment adequacy: A view from those relying on social security payments</w:t>
      </w:r>
      <w:r w:rsidRPr="00F864F4">
        <w:rPr>
          <w:rFonts w:cs="Arial"/>
          <w:sz w:val="20"/>
        </w:rPr>
        <w:t xml:space="preserve">, 2015, 10; The Salvation Army, </w:t>
      </w:r>
      <w:r w:rsidRPr="00F864F4">
        <w:rPr>
          <w:rFonts w:cs="Arial"/>
          <w:i/>
          <w:iCs/>
          <w:sz w:val="20"/>
        </w:rPr>
        <w:t>Economic and Social Impact Survey 2017: The Hard Road</w:t>
      </w:r>
      <w:r w:rsidRPr="00F864F4">
        <w:rPr>
          <w:rFonts w:cs="Arial"/>
          <w:sz w:val="20"/>
        </w:rPr>
        <w:t xml:space="preserve">, 2017, 23.  </w:t>
      </w:r>
    </w:p>
  </w:footnote>
  <w:footnote w:id="5">
    <w:p w14:paraId="64D99A3A" w14:textId="097E3782"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To be published in July 2017.</w:t>
      </w:r>
    </w:p>
  </w:footnote>
  <w:footnote w:id="6">
    <w:p w14:paraId="76F47694" w14:textId="02280B44"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New South Wales Council of Social Service, </w:t>
      </w:r>
      <w:r w:rsidRPr="00F864F4">
        <w:rPr>
          <w:rFonts w:cs="Arial"/>
          <w:i/>
          <w:sz w:val="20"/>
        </w:rPr>
        <w:t>Turning off the lights: The cost of living in NSW</w:t>
      </w:r>
      <w:r w:rsidRPr="00F864F4">
        <w:rPr>
          <w:rFonts w:cs="Arial"/>
          <w:sz w:val="20"/>
        </w:rPr>
        <w:t>, June 2017.</w:t>
      </w:r>
    </w:p>
  </w:footnote>
  <w:footnote w:id="7">
    <w:p w14:paraId="64C9A77A" w14:textId="07F2A744" w:rsidR="00D4635F" w:rsidRPr="00F864F4" w:rsidRDefault="00D4635F" w:rsidP="009363C6">
      <w:pPr>
        <w:pStyle w:val="FootnoteText"/>
        <w:rPr>
          <w:rFonts w:cs="Arial"/>
          <w:sz w:val="20"/>
        </w:rPr>
      </w:pPr>
      <w:r w:rsidRPr="00F864F4">
        <w:rPr>
          <w:rStyle w:val="FootnoteReference"/>
          <w:rFonts w:cs="Arial"/>
          <w:sz w:val="20"/>
        </w:rPr>
        <w:footnoteRef/>
      </w:r>
      <w:r w:rsidRPr="00F864F4">
        <w:rPr>
          <w:rFonts w:cs="Arial"/>
          <w:sz w:val="20"/>
        </w:rPr>
        <w:t xml:space="preserve"> Benno Engels, Rivkah Nissim and Kathy Landvogt, ‘Financial Hardship and Emergency Relief in Victoria’ (2012) 65(1) </w:t>
      </w:r>
      <w:r w:rsidRPr="00F864F4">
        <w:rPr>
          <w:rFonts w:cs="Arial"/>
          <w:i/>
          <w:iCs/>
          <w:sz w:val="20"/>
        </w:rPr>
        <w:t>Australian Social Work</w:t>
      </w:r>
      <w:r w:rsidRPr="00F864F4">
        <w:rPr>
          <w:rFonts w:cs="Arial"/>
          <w:sz w:val="20"/>
        </w:rPr>
        <w:t xml:space="preserve"> 54; Patrick Rehill, </w:t>
      </w:r>
      <w:r w:rsidRPr="00F864F4">
        <w:rPr>
          <w:rFonts w:cs="Arial"/>
          <w:i/>
          <w:iCs/>
          <w:sz w:val="20"/>
        </w:rPr>
        <w:t>Examining Changes in Emergency Relief Provision: An Analysis of 2011-14 Emergency Relief Data</w:t>
      </w:r>
      <w:r w:rsidRPr="00F864F4">
        <w:rPr>
          <w:rFonts w:cs="Arial"/>
          <w:sz w:val="20"/>
        </w:rPr>
        <w:t xml:space="preserve">, St Vincent de Paul Society, 17. </w:t>
      </w:r>
    </w:p>
  </w:footnote>
  <w:footnote w:id="8">
    <w:p w14:paraId="506510F7" w14:textId="792E2BC2" w:rsidR="00D4635F" w:rsidRPr="00F864F4" w:rsidRDefault="00D4635F" w:rsidP="007A5668">
      <w:pPr>
        <w:pStyle w:val="FootnoteText"/>
        <w:rPr>
          <w:rFonts w:cs="Arial"/>
          <w:sz w:val="20"/>
        </w:rPr>
      </w:pPr>
      <w:r w:rsidRPr="00F864F4">
        <w:rPr>
          <w:rStyle w:val="FootnoteReference"/>
          <w:rFonts w:cs="Arial"/>
          <w:sz w:val="20"/>
        </w:rPr>
        <w:footnoteRef/>
      </w:r>
      <w:r w:rsidRPr="00F864F4">
        <w:rPr>
          <w:rFonts w:cs="Arial"/>
          <w:sz w:val="20"/>
        </w:rPr>
        <w:t xml:space="preserve"> Essential Services Commission, </w:t>
      </w:r>
      <w:r w:rsidRPr="00F864F4">
        <w:rPr>
          <w:rFonts w:cs="Arial"/>
          <w:i/>
          <w:iCs/>
          <w:sz w:val="20"/>
        </w:rPr>
        <w:t>Victorian Energy Market Report 2015-16</w:t>
      </w:r>
      <w:r w:rsidRPr="00F864F4">
        <w:rPr>
          <w:rFonts w:cs="Arial"/>
          <w:sz w:val="20"/>
        </w:rPr>
        <w:t>, November 2016, 38.</w:t>
      </w:r>
    </w:p>
  </w:footnote>
  <w:footnote w:id="9">
    <w:p w14:paraId="5048ACD2" w14:textId="175CA17C" w:rsidR="00D4635F" w:rsidRPr="00F864F4" w:rsidRDefault="00D4635F" w:rsidP="007A5668">
      <w:pPr>
        <w:pStyle w:val="FootnoteText"/>
        <w:rPr>
          <w:rFonts w:cs="Arial"/>
          <w:sz w:val="20"/>
        </w:rPr>
      </w:pPr>
      <w:r w:rsidRPr="00F864F4">
        <w:rPr>
          <w:rStyle w:val="FootnoteReference"/>
          <w:rFonts w:cs="Arial"/>
          <w:sz w:val="20"/>
        </w:rPr>
        <w:footnoteRef/>
      </w:r>
      <w:r w:rsidRPr="00F864F4">
        <w:rPr>
          <w:rFonts w:cs="Arial"/>
          <w:sz w:val="20"/>
        </w:rPr>
        <w:t xml:space="preserve"> Essential Services Commission, </w:t>
      </w:r>
      <w:r w:rsidRPr="00F864F4">
        <w:rPr>
          <w:rFonts w:cs="Arial"/>
          <w:i/>
          <w:sz w:val="20"/>
        </w:rPr>
        <w:t>Victorian energy market update 2016-17</w:t>
      </w:r>
      <w:r w:rsidRPr="00F864F4">
        <w:rPr>
          <w:rFonts w:cs="Arial"/>
          <w:sz w:val="20"/>
        </w:rPr>
        <w:t>, Issue 2—January to March 2017, 30 June 2017, 3.</w:t>
      </w:r>
    </w:p>
  </w:footnote>
  <w:footnote w:id="10">
    <w:p w14:paraId="658FB23C" w14:textId="4263C909" w:rsidR="00113268" w:rsidRPr="00F864F4" w:rsidRDefault="00113268">
      <w:pPr>
        <w:pStyle w:val="FootnoteText"/>
        <w:rPr>
          <w:rFonts w:cs="Arial"/>
          <w:sz w:val="20"/>
        </w:rPr>
      </w:pPr>
      <w:r w:rsidRPr="00F864F4">
        <w:rPr>
          <w:rStyle w:val="FootnoteReference"/>
          <w:rFonts w:cs="Arial"/>
          <w:sz w:val="20"/>
        </w:rPr>
        <w:footnoteRef/>
      </w:r>
      <w:r w:rsidRPr="00F864F4">
        <w:rPr>
          <w:rFonts w:cs="Arial"/>
          <w:sz w:val="20"/>
        </w:rPr>
        <w:t xml:space="preserve"> Queensland Productivity Commission, </w:t>
      </w:r>
      <w:r w:rsidRPr="00F864F4">
        <w:rPr>
          <w:rFonts w:cs="Arial"/>
          <w:i/>
          <w:sz w:val="20"/>
        </w:rPr>
        <w:t>Solar feed-in pricing</w:t>
      </w:r>
      <w:r w:rsidR="00F864F4" w:rsidRPr="00F864F4">
        <w:rPr>
          <w:rFonts w:cs="Arial"/>
          <w:i/>
          <w:sz w:val="20"/>
        </w:rPr>
        <w:t xml:space="preserve"> in Queensland</w:t>
      </w:r>
      <w:r w:rsidRPr="00F864F4">
        <w:rPr>
          <w:rFonts w:cs="Arial"/>
          <w:i/>
          <w:sz w:val="20"/>
        </w:rPr>
        <w:t>—Final report</w:t>
      </w:r>
      <w:r w:rsidRPr="00F864F4">
        <w:rPr>
          <w:rFonts w:cs="Arial"/>
          <w:sz w:val="20"/>
        </w:rPr>
        <w:t xml:space="preserve">, </w:t>
      </w:r>
      <w:r w:rsidR="00F864F4" w:rsidRPr="00F864F4">
        <w:rPr>
          <w:rFonts w:cs="Arial"/>
          <w:sz w:val="20"/>
        </w:rPr>
        <w:t xml:space="preserve">June 2016, </w:t>
      </w:r>
      <w:r w:rsidRPr="00F864F4">
        <w:rPr>
          <w:rFonts w:cs="Arial"/>
          <w:sz w:val="20"/>
        </w:rPr>
        <w:t xml:space="preserve">119-131; </w:t>
      </w:r>
      <w:r w:rsidR="00F864F4" w:rsidRPr="00F864F4">
        <w:rPr>
          <w:rFonts w:cs="Arial"/>
          <w:sz w:val="20"/>
        </w:rPr>
        <w:t xml:space="preserve">New South Wales Council of Social Service, </w:t>
      </w:r>
      <w:r w:rsidR="00F864F4" w:rsidRPr="00F864F4">
        <w:rPr>
          <w:rFonts w:cs="Arial"/>
          <w:i/>
          <w:sz w:val="20"/>
        </w:rPr>
        <w:t>Turning off the lights: The cost of living in NSW</w:t>
      </w:r>
      <w:r w:rsidR="00F864F4" w:rsidRPr="00F864F4">
        <w:rPr>
          <w:rFonts w:cs="Arial"/>
          <w:sz w:val="20"/>
        </w:rPr>
        <w:t>, June 2017, 20-22.</w:t>
      </w:r>
    </w:p>
  </w:footnote>
  <w:footnote w:id="11">
    <w:p w14:paraId="26869C47" w14:textId="4DCED8DC" w:rsidR="00D4635F" w:rsidRPr="00F864F4" w:rsidRDefault="00D4635F" w:rsidP="00200984">
      <w:pPr>
        <w:pStyle w:val="FootnoteText"/>
        <w:rPr>
          <w:rFonts w:cs="Arial"/>
          <w:sz w:val="20"/>
        </w:rPr>
      </w:pPr>
      <w:r w:rsidRPr="00F864F4">
        <w:rPr>
          <w:rStyle w:val="FootnoteReference"/>
          <w:rFonts w:cs="Arial"/>
          <w:sz w:val="20"/>
        </w:rPr>
        <w:footnoteRef/>
      </w:r>
      <w:r w:rsidRPr="00F864F4">
        <w:rPr>
          <w:rFonts w:cs="Arial"/>
          <w:sz w:val="20"/>
        </w:rPr>
        <w:t xml:space="preserve"> </w:t>
      </w:r>
      <w:r w:rsidR="006B30FF">
        <w:rPr>
          <w:rFonts w:cs="Arial"/>
          <w:sz w:val="20"/>
        </w:rPr>
        <w:t xml:space="preserve">Lauren Solomon, ‘Effective support for vulnerable households—closing the gap between capacity to pay and cost of consumption, Part 2’, AGL energy sustainability blog, </w:t>
      </w:r>
      <w:r w:rsidR="006B30FF" w:rsidRPr="006B30FF">
        <w:rPr>
          <w:rFonts w:cs="Arial"/>
          <w:sz w:val="20"/>
        </w:rPr>
        <w:t>http://aglblog.com.au/2015/09/effective-support-for-vulnerable-households-closing-the-gap-between-capacity-to-pay-and-cost-of-consumption-part-2/</w:t>
      </w:r>
      <w:r w:rsidR="006B30FF">
        <w:rPr>
          <w:rFonts w:cs="Arial"/>
          <w:sz w:val="20"/>
        </w:rPr>
        <w:t>.</w:t>
      </w:r>
    </w:p>
  </w:footnote>
  <w:footnote w:id="12">
    <w:p w14:paraId="0EA32179" w14:textId="61BE702B"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T Wood, D Blowers and G Moran, </w:t>
      </w:r>
      <w:r w:rsidRPr="00F864F4">
        <w:rPr>
          <w:rFonts w:cs="Arial"/>
          <w:i/>
          <w:sz w:val="20"/>
        </w:rPr>
        <w:t>Price shock: Is the retail electricity market failing consumers</w:t>
      </w:r>
      <w:proofErr w:type="gramStart"/>
      <w:r w:rsidRPr="00F864F4">
        <w:rPr>
          <w:rFonts w:cs="Arial"/>
          <w:i/>
          <w:sz w:val="20"/>
        </w:rPr>
        <w:t>?</w:t>
      </w:r>
      <w:r w:rsidRPr="00F864F4">
        <w:rPr>
          <w:rFonts w:cs="Arial"/>
          <w:sz w:val="20"/>
        </w:rPr>
        <w:t>,</w:t>
      </w:r>
      <w:proofErr w:type="gramEnd"/>
      <w:r w:rsidRPr="00F864F4">
        <w:rPr>
          <w:rFonts w:cs="Arial"/>
          <w:sz w:val="20"/>
        </w:rPr>
        <w:t xml:space="preserve"> Grattan Institute, 2017, 8. See also Australian Energy Regulator, </w:t>
      </w:r>
      <w:r w:rsidRPr="00F864F4">
        <w:rPr>
          <w:rFonts w:cs="Arial"/>
          <w:i/>
          <w:sz w:val="20"/>
        </w:rPr>
        <w:t>State of the Energy Market: May 2017</w:t>
      </w:r>
      <w:r w:rsidRPr="00F864F4">
        <w:rPr>
          <w:rFonts w:cs="Arial"/>
          <w:sz w:val="20"/>
        </w:rPr>
        <w:t>, 2017, 51</w:t>
      </w:r>
      <w:r w:rsidR="00A60DFB">
        <w:rPr>
          <w:rFonts w:cs="Arial"/>
          <w:sz w:val="20"/>
        </w:rPr>
        <w:t>-</w:t>
      </w:r>
      <w:r w:rsidRPr="00F864F4">
        <w:rPr>
          <w:rFonts w:cs="Arial"/>
          <w:sz w:val="20"/>
        </w:rPr>
        <w:t>52.</w:t>
      </w:r>
    </w:p>
  </w:footnote>
  <w:footnote w:id="13">
    <w:p w14:paraId="617E7154" w14:textId="2E64F79F" w:rsidR="00D4635F" w:rsidRPr="00F864F4" w:rsidRDefault="00D4635F" w:rsidP="00B02F11">
      <w:pPr>
        <w:pStyle w:val="FootnoteText"/>
        <w:rPr>
          <w:rFonts w:cs="Arial"/>
          <w:sz w:val="20"/>
        </w:rPr>
      </w:pPr>
      <w:r w:rsidRPr="00F864F4">
        <w:rPr>
          <w:rStyle w:val="FootnoteReference"/>
          <w:rFonts w:cs="Arial"/>
          <w:sz w:val="20"/>
        </w:rPr>
        <w:footnoteRef/>
      </w:r>
      <w:r w:rsidRPr="00F864F4">
        <w:rPr>
          <w:rFonts w:cs="Arial"/>
          <w:sz w:val="20"/>
        </w:rPr>
        <w:t xml:space="preserve"> </w:t>
      </w:r>
      <w:r w:rsidRPr="00F864F4">
        <w:rPr>
          <w:rFonts w:cs="Arial"/>
          <w:i/>
          <w:sz w:val="20"/>
        </w:rPr>
        <w:t>Independent review into the future security of the National Electricity Market: Blueprint for the future</w:t>
      </w:r>
      <w:r w:rsidRPr="00F864F4">
        <w:rPr>
          <w:rFonts w:cs="Arial"/>
          <w:sz w:val="20"/>
        </w:rPr>
        <w:t>, Commonwealth of Australia, 2017, 78-81.</w:t>
      </w:r>
    </w:p>
  </w:footnote>
  <w:footnote w:id="14">
    <w:p w14:paraId="479E6BFF" w14:textId="5C084DE5"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Ibid 79-80.</w:t>
      </w:r>
    </w:p>
  </w:footnote>
  <w:footnote w:id="15">
    <w:p w14:paraId="2CF81329" w14:textId="14677D0E"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Australian Energy Regulator, </w:t>
      </w:r>
      <w:r w:rsidRPr="00F864F4">
        <w:rPr>
          <w:rFonts w:cs="Arial"/>
          <w:i/>
          <w:sz w:val="20"/>
        </w:rPr>
        <w:t>State of the Energy Market: May 2017</w:t>
      </w:r>
      <w:r w:rsidRPr="00F864F4">
        <w:rPr>
          <w:rFonts w:cs="Arial"/>
          <w:sz w:val="20"/>
        </w:rPr>
        <w:t>, 2017, 133.</w:t>
      </w:r>
    </w:p>
  </w:footnote>
  <w:footnote w:id="16">
    <w:p w14:paraId="695FB89B" w14:textId="763CE447"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w:t>
      </w:r>
      <w:r w:rsidRPr="00F864F4">
        <w:rPr>
          <w:rFonts w:cs="Arial"/>
          <w:i/>
          <w:sz w:val="20"/>
        </w:rPr>
        <w:t>Independent review into the future security of the National Electricity Market: Blueprint for the future</w:t>
      </w:r>
      <w:r w:rsidRPr="00F864F4">
        <w:rPr>
          <w:rFonts w:cs="Arial"/>
          <w:sz w:val="20"/>
        </w:rPr>
        <w:t xml:space="preserve">, Commonwealth of Australia, 2017, 79. </w:t>
      </w:r>
    </w:p>
  </w:footnote>
  <w:footnote w:id="17">
    <w:p w14:paraId="30BACE74" w14:textId="654B9A29" w:rsidR="00D4635F" w:rsidRPr="00F864F4" w:rsidRDefault="00D4635F" w:rsidP="00574CAE">
      <w:pPr>
        <w:pStyle w:val="FootnoteText"/>
        <w:rPr>
          <w:rFonts w:cs="Arial"/>
          <w:sz w:val="20"/>
        </w:rPr>
      </w:pPr>
      <w:r w:rsidRPr="00F864F4">
        <w:rPr>
          <w:rStyle w:val="FootnoteReference"/>
          <w:rFonts w:cs="Arial"/>
          <w:sz w:val="20"/>
        </w:rPr>
        <w:footnoteRef/>
      </w:r>
      <w:r w:rsidRPr="00F864F4">
        <w:rPr>
          <w:rFonts w:cs="Arial"/>
          <w:sz w:val="20"/>
        </w:rPr>
        <w:t xml:space="preserve"> Australian Energy Regulator, </w:t>
      </w:r>
      <w:r w:rsidRPr="00F864F4">
        <w:rPr>
          <w:rFonts w:cs="Arial"/>
          <w:i/>
          <w:sz w:val="20"/>
        </w:rPr>
        <w:t>State of the Energy Market: May 2017</w:t>
      </w:r>
      <w:r w:rsidRPr="00F864F4">
        <w:rPr>
          <w:rFonts w:cs="Arial"/>
          <w:sz w:val="20"/>
        </w:rPr>
        <w:t>, 2017, 129.</w:t>
      </w:r>
    </w:p>
  </w:footnote>
  <w:footnote w:id="18">
    <w:p w14:paraId="6D340712" w14:textId="31D21BE5" w:rsidR="00D4635F" w:rsidRPr="00F864F4" w:rsidRDefault="00D4635F" w:rsidP="00F65DCF">
      <w:pPr>
        <w:pStyle w:val="FootnoteText"/>
        <w:rPr>
          <w:rFonts w:cs="Arial"/>
          <w:sz w:val="20"/>
        </w:rPr>
      </w:pPr>
      <w:r w:rsidRPr="00F864F4">
        <w:rPr>
          <w:rStyle w:val="FootnoteReference"/>
          <w:rFonts w:cs="Arial"/>
          <w:sz w:val="20"/>
        </w:rPr>
        <w:footnoteRef/>
      </w:r>
      <w:r w:rsidRPr="00F864F4">
        <w:rPr>
          <w:rFonts w:cs="Arial"/>
          <w:sz w:val="20"/>
        </w:rPr>
        <w:t xml:space="preserve"> St Vincent de Paul Society and Alviss Consulting, </w:t>
      </w:r>
      <w:r w:rsidRPr="00F864F4">
        <w:rPr>
          <w:rFonts w:cs="Arial"/>
          <w:i/>
          <w:iCs/>
          <w:sz w:val="20"/>
        </w:rPr>
        <w:t>The NEM: A hazy retail maze—Observations from Vinnies’ tariff-tracking project</w:t>
      </w:r>
      <w:r w:rsidRPr="00F864F4">
        <w:rPr>
          <w:rFonts w:cs="Arial"/>
          <w:sz w:val="20"/>
        </w:rPr>
        <w:t>, December 2016, 18-20.</w:t>
      </w:r>
    </w:p>
  </w:footnote>
  <w:footnote w:id="19">
    <w:p w14:paraId="2E9D53A2" w14:textId="441C6F70"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T Wood, D Blowers and G Moran, </w:t>
      </w:r>
      <w:r w:rsidRPr="00F864F4">
        <w:rPr>
          <w:rFonts w:cs="Arial"/>
          <w:i/>
          <w:sz w:val="20"/>
        </w:rPr>
        <w:t>Price shock: Is the retail electricity market failing consumers?</w:t>
      </w:r>
      <w:r w:rsidRPr="00F864F4">
        <w:rPr>
          <w:rFonts w:cs="Arial"/>
          <w:sz w:val="20"/>
        </w:rPr>
        <w:t>, Grattan Institute, 2017, 9.</w:t>
      </w:r>
    </w:p>
  </w:footnote>
  <w:footnote w:id="20">
    <w:p w14:paraId="3C289FB0" w14:textId="166ED8D2"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St Vincent de Paul Society and Alviss Consulting, </w:t>
      </w:r>
      <w:r w:rsidRPr="00F864F4">
        <w:rPr>
          <w:rFonts w:cs="Arial"/>
          <w:i/>
          <w:sz w:val="20"/>
        </w:rPr>
        <w:t>Victorian Energy Prices, January 2017</w:t>
      </w:r>
      <w:r w:rsidRPr="00F864F4">
        <w:rPr>
          <w:rFonts w:cs="Arial"/>
          <w:sz w:val="20"/>
        </w:rPr>
        <w:t>, 2017, 15, 28-38.</w:t>
      </w:r>
    </w:p>
  </w:footnote>
  <w:footnote w:id="21">
    <w:p w14:paraId="2986C182" w14:textId="744BEC6F" w:rsidR="00D4635F" w:rsidRPr="00F864F4" w:rsidRDefault="00D4635F" w:rsidP="004E260A">
      <w:pPr>
        <w:pStyle w:val="FootnoteText"/>
        <w:rPr>
          <w:rFonts w:cs="Arial"/>
          <w:sz w:val="20"/>
        </w:rPr>
      </w:pPr>
      <w:r w:rsidRPr="00F864F4">
        <w:rPr>
          <w:rStyle w:val="FootnoteReference"/>
          <w:rFonts w:cs="Arial"/>
          <w:sz w:val="20"/>
        </w:rPr>
        <w:footnoteRef/>
      </w:r>
      <w:r w:rsidRPr="00F864F4">
        <w:rPr>
          <w:rFonts w:cs="Arial"/>
          <w:sz w:val="20"/>
        </w:rPr>
        <w:t xml:space="preserve"> Australian Energy Regulator, </w:t>
      </w:r>
      <w:r w:rsidRPr="00F864F4">
        <w:rPr>
          <w:rFonts w:cs="Arial"/>
          <w:i/>
          <w:sz w:val="20"/>
        </w:rPr>
        <w:t>State of the Energy Market: May 2017</w:t>
      </w:r>
      <w:r w:rsidRPr="00F864F4">
        <w:rPr>
          <w:rFonts w:cs="Arial"/>
          <w:sz w:val="20"/>
        </w:rPr>
        <w:t>, 2017, 133.</w:t>
      </w:r>
    </w:p>
  </w:footnote>
  <w:footnote w:id="22">
    <w:p w14:paraId="3C965B37" w14:textId="095D7AFF"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Ibid 129.</w:t>
      </w:r>
    </w:p>
  </w:footnote>
  <w:footnote w:id="23">
    <w:p w14:paraId="217075A8" w14:textId="16199F83"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Oakley Greenwood, </w:t>
      </w:r>
      <w:r w:rsidRPr="00F864F4">
        <w:rPr>
          <w:rFonts w:cs="Arial"/>
          <w:i/>
          <w:sz w:val="20"/>
        </w:rPr>
        <w:t>Causes of residential electricity bill changes in Victoria, 1995 to 2017</w:t>
      </w:r>
      <w:r w:rsidRPr="00F864F4">
        <w:rPr>
          <w:rFonts w:cs="Arial"/>
          <w:sz w:val="20"/>
        </w:rPr>
        <w:t>, February 2017, 11-12.</w:t>
      </w:r>
    </w:p>
  </w:footnote>
  <w:footnote w:id="24">
    <w:p w14:paraId="2783E691" w14:textId="5A511C6A"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Ibid 15.</w:t>
      </w:r>
    </w:p>
  </w:footnote>
  <w:footnote w:id="25">
    <w:p w14:paraId="767149BE" w14:textId="1624ED4F"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Ibid 15.</w:t>
      </w:r>
    </w:p>
  </w:footnote>
  <w:footnote w:id="26">
    <w:p w14:paraId="3E7E0C6C" w14:textId="259D085B"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See Essential Services Commission, </w:t>
      </w:r>
      <w:r w:rsidRPr="00F864F4">
        <w:rPr>
          <w:rFonts w:cs="Arial"/>
          <w:i/>
          <w:sz w:val="20"/>
        </w:rPr>
        <w:t>Minimum electricity feed-in tariff to apply from 1 July 2017—Decision (final)</w:t>
      </w:r>
      <w:r w:rsidRPr="00F864F4">
        <w:rPr>
          <w:rFonts w:cs="Arial"/>
          <w:sz w:val="20"/>
        </w:rPr>
        <w:t>, February 2017.</w:t>
      </w:r>
    </w:p>
  </w:footnote>
  <w:footnote w:id="27">
    <w:p w14:paraId="292046F5" w14:textId="0A52D7FA"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Oakley Greenwood, </w:t>
      </w:r>
      <w:r w:rsidRPr="00F864F4">
        <w:rPr>
          <w:rFonts w:cs="Arial"/>
          <w:i/>
          <w:sz w:val="20"/>
        </w:rPr>
        <w:t>Causes of residential electricity bill changes in Victoria, 1995 to 2017</w:t>
      </w:r>
      <w:r w:rsidRPr="00F864F4">
        <w:rPr>
          <w:rFonts w:cs="Arial"/>
          <w:sz w:val="20"/>
        </w:rPr>
        <w:t>, February 2017, 11-12.</w:t>
      </w:r>
    </w:p>
  </w:footnote>
  <w:footnote w:id="28">
    <w:p w14:paraId="3591C405" w14:textId="7DF51E7A"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St Vincent de Paul Society and Alviss Consulting, </w:t>
      </w:r>
      <w:r w:rsidRPr="00F864F4">
        <w:rPr>
          <w:rFonts w:cs="Arial"/>
          <w:i/>
          <w:iCs/>
          <w:sz w:val="20"/>
        </w:rPr>
        <w:t>The NEM: A hazy retail maze—Observations from Vinnies’ tariff-tracking project</w:t>
      </w:r>
      <w:r w:rsidRPr="00F864F4">
        <w:rPr>
          <w:rFonts w:cs="Arial"/>
          <w:sz w:val="20"/>
        </w:rPr>
        <w:t>, December 2016, 18-20.</w:t>
      </w:r>
    </w:p>
  </w:footnote>
  <w:footnote w:id="29">
    <w:p w14:paraId="6CC6B747" w14:textId="36CB59A6"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w:t>
      </w:r>
      <w:r w:rsidR="009E5888" w:rsidRPr="00F864F4">
        <w:rPr>
          <w:rFonts w:cs="Arial"/>
          <w:sz w:val="20"/>
        </w:rPr>
        <w:t>Ibid 34.</w:t>
      </w:r>
    </w:p>
  </w:footnote>
  <w:footnote w:id="30">
    <w:p w14:paraId="3067C384" w14:textId="592A1967"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w:t>
      </w:r>
      <w:r w:rsidR="009E5888" w:rsidRPr="00F864F4">
        <w:rPr>
          <w:rFonts w:cs="Arial"/>
          <w:sz w:val="20"/>
        </w:rPr>
        <w:t>Ibid.</w:t>
      </w:r>
    </w:p>
  </w:footnote>
  <w:footnote w:id="31">
    <w:p w14:paraId="6DD8ACF9" w14:textId="6A5655A1" w:rsidR="00D4635F" w:rsidRPr="00F864F4" w:rsidRDefault="00D4635F">
      <w:pPr>
        <w:pStyle w:val="FootnoteText"/>
        <w:rPr>
          <w:rFonts w:cs="Arial"/>
          <w:sz w:val="20"/>
        </w:rPr>
      </w:pPr>
      <w:r w:rsidRPr="00F864F4">
        <w:rPr>
          <w:rStyle w:val="FootnoteReference"/>
          <w:rFonts w:cs="Arial"/>
          <w:sz w:val="20"/>
        </w:rPr>
        <w:footnoteRef/>
      </w:r>
      <w:r w:rsidR="009E5888" w:rsidRPr="00F864F4">
        <w:rPr>
          <w:rFonts w:cs="Arial"/>
          <w:sz w:val="20"/>
        </w:rPr>
        <w:t xml:space="preserve"> T Wood, D Blowers and G Moran, </w:t>
      </w:r>
      <w:r w:rsidR="009E5888" w:rsidRPr="00F864F4">
        <w:rPr>
          <w:rFonts w:cs="Arial"/>
          <w:i/>
          <w:sz w:val="20"/>
        </w:rPr>
        <w:t>Price shock: Is the retail electricity market failing consumers</w:t>
      </w:r>
      <w:proofErr w:type="gramStart"/>
      <w:r w:rsidR="009E5888" w:rsidRPr="00F864F4">
        <w:rPr>
          <w:rFonts w:cs="Arial"/>
          <w:i/>
          <w:sz w:val="20"/>
        </w:rPr>
        <w:t>?</w:t>
      </w:r>
      <w:r w:rsidR="009E5888" w:rsidRPr="00F864F4">
        <w:rPr>
          <w:rFonts w:cs="Arial"/>
          <w:sz w:val="20"/>
        </w:rPr>
        <w:t>,</w:t>
      </w:r>
      <w:proofErr w:type="gramEnd"/>
      <w:r w:rsidR="009E5888" w:rsidRPr="00F864F4">
        <w:rPr>
          <w:rFonts w:cs="Arial"/>
          <w:sz w:val="20"/>
        </w:rPr>
        <w:t xml:space="preserve"> Grattan Institute, 2017, </w:t>
      </w:r>
      <w:r w:rsidRPr="00F864F4">
        <w:rPr>
          <w:rFonts w:cs="Arial"/>
          <w:sz w:val="20"/>
        </w:rPr>
        <w:t>14.</w:t>
      </w:r>
    </w:p>
  </w:footnote>
  <w:footnote w:id="32">
    <w:p w14:paraId="437A4CD0" w14:textId="1E35E8C3" w:rsidR="00D4635F" w:rsidRPr="00F864F4" w:rsidRDefault="00D4635F">
      <w:pPr>
        <w:pStyle w:val="FootnoteText"/>
        <w:rPr>
          <w:rFonts w:cs="Arial"/>
          <w:sz w:val="20"/>
        </w:rPr>
      </w:pPr>
      <w:r w:rsidRPr="00F864F4">
        <w:rPr>
          <w:rStyle w:val="FootnoteReference"/>
          <w:rFonts w:cs="Arial"/>
          <w:sz w:val="20"/>
        </w:rPr>
        <w:footnoteRef/>
      </w:r>
      <w:r w:rsidR="009E5888" w:rsidRPr="00F864F4">
        <w:rPr>
          <w:rFonts w:cs="Arial"/>
          <w:sz w:val="20"/>
        </w:rPr>
        <w:t xml:space="preserve"> Ibid</w:t>
      </w:r>
      <w:r w:rsidRPr="00F864F4">
        <w:rPr>
          <w:rFonts w:cs="Arial"/>
          <w:sz w:val="20"/>
        </w:rPr>
        <w:t xml:space="preserve"> 14.</w:t>
      </w:r>
    </w:p>
  </w:footnote>
  <w:footnote w:id="33">
    <w:p w14:paraId="5FF551F0" w14:textId="60CC3205" w:rsidR="009E5888" w:rsidRPr="00F864F4" w:rsidRDefault="009E5888">
      <w:pPr>
        <w:pStyle w:val="FootnoteText"/>
        <w:rPr>
          <w:rFonts w:cs="Arial"/>
          <w:sz w:val="20"/>
        </w:rPr>
      </w:pPr>
      <w:r w:rsidRPr="00F864F4">
        <w:rPr>
          <w:rStyle w:val="FootnoteReference"/>
          <w:rFonts w:cs="Arial"/>
          <w:sz w:val="20"/>
        </w:rPr>
        <w:footnoteRef/>
      </w:r>
      <w:r w:rsidRPr="00F864F4">
        <w:rPr>
          <w:rFonts w:cs="Arial"/>
          <w:sz w:val="20"/>
        </w:rPr>
        <w:t xml:space="preserve"> St Vincent de Paul Society and Alviss Consulting, </w:t>
      </w:r>
      <w:r w:rsidRPr="00F864F4">
        <w:rPr>
          <w:rFonts w:cs="Arial"/>
          <w:i/>
          <w:sz w:val="20"/>
        </w:rPr>
        <w:t>Victorian Energy Prices, January 2017</w:t>
      </w:r>
      <w:r w:rsidRPr="00F864F4">
        <w:rPr>
          <w:rFonts w:cs="Arial"/>
          <w:sz w:val="20"/>
        </w:rPr>
        <w:t>, 2017, 72.</w:t>
      </w:r>
    </w:p>
  </w:footnote>
  <w:footnote w:id="34">
    <w:p w14:paraId="29B1F0AA" w14:textId="233796B1"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w:t>
      </w:r>
      <w:r w:rsidR="009E5888" w:rsidRPr="00F864F4">
        <w:rPr>
          <w:rFonts w:cs="Arial"/>
          <w:i/>
          <w:iCs/>
          <w:sz w:val="20"/>
        </w:rPr>
        <w:t>Preliminary Report of the Independent Review into Future Security of the National Electricity Market</w:t>
      </w:r>
      <w:r w:rsidR="009E5888" w:rsidRPr="00F864F4">
        <w:rPr>
          <w:rFonts w:cs="Arial"/>
          <w:sz w:val="20"/>
        </w:rPr>
        <w:t>, Commonwealth of Australia, 2016, 45.</w:t>
      </w:r>
    </w:p>
  </w:footnote>
  <w:footnote w:id="35">
    <w:p w14:paraId="1E776EBE" w14:textId="59BF66CF"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w:t>
      </w:r>
      <w:r w:rsidR="005E5295" w:rsidRPr="00F864F4">
        <w:rPr>
          <w:rFonts w:cs="Arial"/>
          <w:sz w:val="20"/>
        </w:rPr>
        <w:t xml:space="preserve">Essential Services Commission, </w:t>
      </w:r>
      <w:r w:rsidR="005E5295" w:rsidRPr="00F864F4">
        <w:rPr>
          <w:rFonts w:cs="Arial"/>
          <w:i/>
          <w:iCs/>
          <w:sz w:val="20"/>
        </w:rPr>
        <w:t>Victorian Energy Market Report 2015-16</w:t>
      </w:r>
      <w:r w:rsidR="005E5295" w:rsidRPr="00F864F4">
        <w:rPr>
          <w:rFonts w:cs="Arial"/>
          <w:sz w:val="20"/>
        </w:rPr>
        <w:t xml:space="preserve">, November 2016, </w:t>
      </w:r>
      <w:r w:rsidRPr="00F864F4">
        <w:rPr>
          <w:rFonts w:cs="Arial"/>
          <w:sz w:val="20"/>
        </w:rPr>
        <w:t>14.</w:t>
      </w:r>
    </w:p>
  </w:footnote>
  <w:footnote w:id="36">
    <w:p w14:paraId="7E000A45" w14:textId="1ECD7F4C"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w:t>
      </w:r>
      <w:r w:rsidR="005E5295" w:rsidRPr="00F864F4">
        <w:rPr>
          <w:rFonts w:cs="Arial"/>
          <w:sz w:val="20"/>
        </w:rPr>
        <w:t xml:space="preserve">T Wood, D Blowers and G Moran, </w:t>
      </w:r>
      <w:r w:rsidR="005E5295" w:rsidRPr="00F864F4">
        <w:rPr>
          <w:rFonts w:cs="Arial"/>
          <w:i/>
          <w:sz w:val="20"/>
        </w:rPr>
        <w:t>Price shock: Is the retail electricity market failing consumers</w:t>
      </w:r>
      <w:proofErr w:type="gramStart"/>
      <w:r w:rsidR="005E5295" w:rsidRPr="00F864F4">
        <w:rPr>
          <w:rFonts w:cs="Arial"/>
          <w:i/>
          <w:sz w:val="20"/>
        </w:rPr>
        <w:t>?</w:t>
      </w:r>
      <w:r w:rsidR="005E5295" w:rsidRPr="00F864F4">
        <w:rPr>
          <w:rFonts w:cs="Arial"/>
          <w:sz w:val="20"/>
        </w:rPr>
        <w:t>,</w:t>
      </w:r>
      <w:proofErr w:type="gramEnd"/>
      <w:r w:rsidR="005E5295" w:rsidRPr="00F864F4">
        <w:rPr>
          <w:rFonts w:cs="Arial"/>
          <w:sz w:val="20"/>
        </w:rPr>
        <w:t xml:space="preserve"> Grattan Institute, 2017, </w:t>
      </w:r>
      <w:r w:rsidRPr="00F864F4">
        <w:rPr>
          <w:rFonts w:cs="Arial"/>
          <w:sz w:val="20"/>
        </w:rPr>
        <w:t>28.</w:t>
      </w:r>
    </w:p>
  </w:footnote>
  <w:footnote w:id="37">
    <w:p w14:paraId="542F5686" w14:textId="2ECD57B5" w:rsidR="00D4635F" w:rsidRPr="00F864F4" w:rsidRDefault="00D4635F" w:rsidP="00BF55D4">
      <w:pPr>
        <w:pStyle w:val="FootnoteText"/>
        <w:rPr>
          <w:rFonts w:cs="Arial"/>
          <w:sz w:val="20"/>
        </w:rPr>
      </w:pPr>
      <w:r w:rsidRPr="00F864F4">
        <w:rPr>
          <w:rStyle w:val="FootnoteReference"/>
          <w:rFonts w:cs="Arial"/>
          <w:sz w:val="20"/>
        </w:rPr>
        <w:footnoteRef/>
      </w:r>
      <w:r w:rsidR="005E5295" w:rsidRPr="00F864F4">
        <w:rPr>
          <w:rFonts w:cs="Arial"/>
          <w:sz w:val="20"/>
        </w:rPr>
        <w:t xml:space="preserve"> Essential Services Commission, </w:t>
      </w:r>
      <w:r w:rsidR="005E5295" w:rsidRPr="00F864F4">
        <w:rPr>
          <w:rFonts w:cs="Arial"/>
          <w:i/>
          <w:iCs/>
          <w:sz w:val="20"/>
        </w:rPr>
        <w:t>Victorian Energy Market Report 2015-16</w:t>
      </w:r>
      <w:r w:rsidR="005E5295" w:rsidRPr="00F864F4">
        <w:rPr>
          <w:rFonts w:cs="Arial"/>
          <w:sz w:val="20"/>
        </w:rPr>
        <w:t xml:space="preserve">, November 2016, </w:t>
      </w:r>
      <w:r w:rsidRPr="00F864F4">
        <w:rPr>
          <w:rFonts w:cs="Arial"/>
          <w:sz w:val="20"/>
        </w:rPr>
        <w:t>19.</w:t>
      </w:r>
    </w:p>
  </w:footnote>
  <w:footnote w:id="38">
    <w:p w14:paraId="6A4CEB95" w14:textId="25D78BCE" w:rsidR="00D4635F" w:rsidRPr="00F864F4" w:rsidRDefault="00D4635F">
      <w:pPr>
        <w:pStyle w:val="FootnoteText"/>
        <w:rPr>
          <w:rFonts w:cs="Arial"/>
          <w:sz w:val="20"/>
        </w:rPr>
      </w:pPr>
      <w:r w:rsidRPr="00F864F4">
        <w:rPr>
          <w:rStyle w:val="FootnoteReference"/>
          <w:rFonts w:cs="Arial"/>
          <w:sz w:val="20"/>
        </w:rPr>
        <w:footnoteRef/>
      </w:r>
      <w:r w:rsidR="005E5295" w:rsidRPr="00F864F4">
        <w:rPr>
          <w:rFonts w:cs="Arial"/>
          <w:sz w:val="20"/>
        </w:rPr>
        <w:t xml:space="preserve"> Australian Energy Market Commission, </w:t>
      </w:r>
      <w:r w:rsidR="005E5295" w:rsidRPr="00F864F4">
        <w:rPr>
          <w:rFonts w:cs="Arial"/>
          <w:i/>
          <w:iCs/>
          <w:sz w:val="20"/>
        </w:rPr>
        <w:t>Retail competition review</w:t>
      </w:r>
      <w:r w:rsidR="005E5295" w:rsidRPr="00F864F4">
        <w:rPr>
          <w:rFonts w:cs="Arial"/>
          <w:sz w:val="20"/>
        </w:rPr>
        <w:t xml:space="preserve">, Final report, 30 June 2016, 52-53.  </w:t>
      </w:r>
    </w:p>
  </w:footnote>
  <w:footnote w:id="39">
    <w:p w14:paraId="7EA72DDF" w14:textId="6489EDE1" w:rsidR="00D4635F" w:rsidRPr="00F864F4" w:rsidRDefault="00D4635F">
      <w:pPr>
        <w:pStyle w:val="FootnoteText"/>
        <w:rPr>
          <w:rFonts w:cs="Arial"/>
          <w:sz w:val="20"/>
        </w:rPr>
      </w:pPr>
      <w:r w:rsidRPr="00F864F4">
        <w:rPr>
          <w:rStyle w:val="FootnoteReference"/>
          <w:rFonts w:cs="Arial"/>
          <w:sz w:val="20"/>
        </w:rPr>
        <w:footnoteRef/>
      </w:r>
      <w:r w:rsidR="00FE5D50" w:rsidRPr="00F864F4">
        <w:rPr>
          <w:rFonts w:cs="Arial"/>
          <w:sz w:val="20"/>
        </w:rPr>
        <w:t xml:space="preserve"> T Wood, D Blowers and G Moran, </w:t>
      </w:r>
      <w:r w:rsidR="00FE5D50" w:rsidRPr="00F864F4">
        <w:rPr>
          <w:rFonts w:cs="Arial"/>
          <w:i/>
          <w:sz w:val="20"/>
        </w:rPr>
        <w:t>Price shock: Is the retail electricity market failing consumers</w:t>
      </w:r>
      <w:proofErr w:type="gramStart"/>
      <w:r w:rsidR="00FE5D50" w:rsidRPr="00F864F4">
        <w:rPr>
          <w:rFonts w:cs="Arial"/>
          <w:i/>
          <w:sz w:val="20"/>
        </w:rPr>
        <w:t>?</w:t>
      </w:r>
      <w:r w:rsidR="00FE5D50" w:rsidRPr="00F864F4">
        <w:rPr>
          <w:rFonts w:cs="Arial"/>
          <w:sz w:val="20"/>
        </w:rPr>
        <w:t>,</w:t>
      </w:r>
      <w:proofErr w:type="gramEnd"/>
      <w:r w:rsidR="00FE5D50" w:rsidRPr="00F864F4">
        <w:rPr>
          <w:rFonts w:cs="Arial"/>
          <w:sz w:val="20"/>
        </w:rPr>
        <w:t xml:space="preserve"> Grattan Institute, 2017, </w:t>
      </w:r>
      <w:r w:rsidRPr="00F864F4">
        <w:rPr>
          <w:rFonts w:cs="Arial"/>
          <w:sz w:val="20"/>
        </w:rPr>
        <w:t>32.</w:t>
      </w:r>
    </w:p>
  </w:footnote>
  <w:footnote w:id="40">
    <w:p w14:paraId="1BDBFFFB" w14:textId="79045158"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Australian Competition and Consumer Commission, </w:t>
      </w:r>
      <w:r w:rsidRPr="00F864F4">
        <w:rPr>
          <w:rFonts w:cs="Arial"/>
          <w:i/>
          <w:sz w:val="20"/>
        </w:rPr>
        <w:t>Report of the ACCC inquiry into the competitiveness of retail prices for standard groceries</w:t>
      </w:r>
      <w:r w:rsidRPr="00F864F4">
        <w:rPr>
          <w:rFonts w:cs="Arial"/>
          <w:sz w:val="20"/>
        </w:rPr>
        <w:t>, Commonwealth of Australia, July 2008, 450-451.</w:t>
      </w:r>
    </w:p>
  </w:footnote>
  <w:footnote w:id="41">
    <w:p w14:paraId="28D9FA2B" w14:textId="0D23B5AA" w:rsidR="00D4635F" w:rsidRPr="00F864F4" w:rsidRDefault="00D4635F" w:rsidP="0090635B">
      <w:pPr>
        <w:pStyle w:val="FootnoteText"/>
        <w:rPr>
          <w:rFonts w:cs="Arial"/>
          <w:sz w:val="20"/>
        </w:rPr>
      </w:pPr>
      <w:r w:rsidRPr="00F864F4">
        <w:rPr>
          <w:rStyle w:val="FootnoteReference"/>
          <w:rFonts w:cs="Arial"/>
          <w:sz w:val="20"/>
        </w:rPr>
        <w:footnoteRef/>
      </w:r>
      <w:r w:rsidR="00FE5D50" w:rsidRPr="00F864F4">
        <w:rPr>
          <w:rFonts w:cs="Arial"/>
          <w:sz w:val="20"/>
        </w:rPr>
        <w:t xml:space="preserve"> Australian Energy Regulator, </w:t>
      </w:r>
      <w:r w:rsidR="00FE5D50" w:rsidRPr="00F864F4">
        <w:rPr>
          <w:rFonts w:cs="Arial"/>
          <w:i/>
          <w:sz w:val="20"/>
        </w:rPr>
        <w:t>State of the Energy Market: May 2017</w:t>
      </w:r>
      <w:r w:rsidR="00FE5D50" w:rsidRPr="00F864F4">
        <w:rPr>
          <w:rFonts w:cs="Arial"/>
          <w:sz w:val="20"/>
        </w:rPr>
        <w:t>, 2017,</w:t>
      </w:r>
      <w:r w:rsidRPr="00F864F4">
        <w:rPr>
          <w:rFonts w:cs="Arial"/>
          <w:sz w:val="20"/>
        </w:rPr>
        <w:t xml:space="preserve"> 147.</w:t>
      </w:r>
    </w:p>
  </w:footnote>
  <w:footnote w:id="42">
    <w:p w14:paraId="7E3BA473" w14:textId="3E79E1B5" w:rsidR="00D4635F" w:rsidRPr="00F864F4" w:rsidRDefault="00D4635F">
      <w:pPr>
        <w:pStyle w:val="FootnoteText"/>
        <w:rPr>
          <w:rFonts w:cs="Arial"/>
          <w:sz w:val="20"/>
        </w:rPr>
      </w:pPr>
      <w:r w:rsidRPr="00F864F4">
        <w:rPr>
          <w:rStyle w:val="FootnoteReference"/>
          <w:rFonts w:cs="Arial"/>
          <w:sz w:val="20"/>
        </w:rPr>
        <w:footnoteRef/>
      </w:r>
      <w:r w:rsidR="00FE5D50" w:rsidRPr="00F864F4">
        <w:rPr>
          <w:rFonts w:cs="Arial"/>
          <w:sz w:val="20"/>
        </w:rPr>
        <w:t xml:space="preserve"> St Vincent de Paul Society and Alviss Consulting, </w:t>
      </w:r>
      <w:r w:rsidR="00FE5D50" w:rsidRPr="00F864F4">
        <w:rPr>
          <w:rFonts w:cs="Arial"/>
          <w:i/>
          <w:iCs/>
          <w:sz w:val="20"/>
        </w:rPr>
        <w:t>The NEM: A hazy retail maze—Observations from Vinnies’ tariff-tracking project</w:t>
      </w:r>
      <w:r w:rsidR="00FE5D50" w:rsidRPr="00F864F4">
        <w:rPr>
          <w:rFonts w:cs="Arial"/>
          <w:sz w:val="20"/>
        </w:rPr>
        <w:t>, December 2016, 53.</w:t>
      </w:r>
    </w:p>
  </w:footnote>
  <w:footnote w:id="43">
    <w:p w14:paraId="2662CB54" w14:textId="4CED86E7" w:rsidR="00D4635F" w:rsidRPr="00F864F4" w:rsidRDefault="00D4635F">
      <w:pPr>
        <w:pStyle w:val="FootnoteText"/>
        <w:rPr>
          <w:rFonts w:cs="Arial"/>
          <w:sz w:val="20"/>
        </w:rPr>
      </w:pPr>
      <w:r w:rsidRPr="00F864F4">
        <w:rPr>
          <w:rStyle w:val="FootnoteReference"/>
          <w:rFonts w:cs="Arial"/>
          <w:sz w:val="20"/>
        </w:rPr>
        <w:footnoteRef/>
      </w:r>
      <w:r w:rsidR="007D5B72">
        <w:rPr>
          <w:rFonts w:cs="Arial"/>
          <w:sz w:val="20"/>
        </w:rPr>
        <w:t xml:space="preserve"> See further i</w:t>
      </w:r>
      <w:r w:rsidR="00FE5D50" w:rsidRPr="00F864F4">
        <w:rPr>
          <w:rFonts w:cs="Arial"/>
          <w:sz w:val="20"/>
        </w:rPr>
        <w:t xml:space="preserve">bid 50-54. </w:t>
      </w:r>
    </w:p>
  </w:footnote>
  <w:footnote w:id="44">
    <w:p w14:paraId="3DA626C3" w14:textId="2ADEE348" w:rsidR="00D4635F" w:rsidRPr="00F864F4" w:rsidRDefault="00D4635F">
      <w:pPr>
        <w:pStyle w:val="FootnoteText"/>
        <w:rPr>
          <w:rFonts w:cs="Arial"/>
          <w:sz w:val="20"/>
        </w:rPr>
      </w:pPr>
      <w:r w:rsidRPr="00F864F4">
        <w:rPr>
          <w:rStyle w:val="FootnoteReference"/>
          <w:rFonts w:cs="Arial"/>
          <w:sz w:val="20"/>
        </w:rPr>
        <w:footnoteRef/>
      </w:r>
      <w:r w:rsidR="00FE5D50" w:rsidRPr="00F864F4">
        <w:rPr>
          <w:rFonts w:cs="Arial"/>
          <w:sz w:val="20"/>
        </w:rPr>
        <w:t xml:space="preserve"> Australian Energy Regulator, </w:t>
      </w:r>
      <w:r w:rsidR="00FE5D50" w:rsidRPr="00F864F4">
        <w:rPr>
          <w:rFonts w:cs="Arial"/>
          <w:i/>
          <w:sz w:val="20"/>
        </w:rPr>
        <w:t>State of the Energy Market: May 2017</w:t>
      </w:r>
      <w:r w:rsidR="00FE5D50" w:rsidRPr="00F864F4">
        <w:rPr>
          <w:rFonts w:cs="Arial"/>
          <w:sz w:val="20"/>
        </w:rPr>
        <w:t>, 2017, 16.</w:t>
      </w:r>
    </w:p>
  </w:footnote>
  <w:footnote w:id="45">
    <w:p w14:paraId="4A4F9734" w14:textId="1C45A21E" w:rsidR="00D4635F" w:rsidRPr="00F864F4" w:rsidRDefault="00D4635F">
      <w:pPr>
        <w:pStyle w:val="FootnoteText"/>
        <w:rPr>
          <w:rFonts w:cs="Arial"/>
          <w:sz w:val="20"/>
        </w:rPr>
      </w:pPr>
      <w:r w:rsidRPr="00F864F4">
        <w:rPr>
          <w:rStyle w:val="FootnoteReference"/>
          <w:rFonts w:cs="Arial"/>
          <w:sz w:val="20"/>
        </w:rPr>
        <w:footnoteRef/>
      </w:r>
      <w:r w:rsidR="00FE5D50" w:rsidRPr="00F864F4">
        <w:rPr>
          <w:rFonts w:cs="Arial"/>
          <w:sz w:val="20"/>
        </w:rPr>
        <w:t xml:space="preserve"> St Vincent de Paul Society and Alviss Consulting, </w:t>
      </w:r>
      <w:r w:rsidR="00FE5D50" w:rsidRPr="00F864F4">
        <w:rPr>
          <w:rFonts w:cs="Arial"/>
          <w:i/>
          <w:iCs/>
          <w:sz w:val="20"/>
        </w:rPr>
        <w:t>The NEM: A hazy retail maze—Observations from Vinnies’ tariff-tracking project</w:t>
      </w:r>
      <w:r w:rsidR="00FE5D50" w:rsidRPr="00F864F4">
        <w:rPr>
          <w:rFonts w:cs="Arial"/>
          <w:sz w:val="20"/>
        </w:rPr>
        <w:t xml:space="preserve">, December 2016, </w:t>
      </w:r>
      <w:r w:rsidR="00D41057">
        <w:rPr>
          <w:rFonts w:cs="Arial"/>
          <w:sz w:val="20"/>
        </w:rPr>
        <w:t>27-</w:t>
      </w:r>
      <w:r w:rsidR="00FE5D50" w:rsidRPr="00F864F4">
        <w:rPr>
          <w:rFonts w:cs="Arial"/>
          <w:sz w:val="20"/>
        </w:rPr>
        <w:t>30.</w:t>
      </w:r>
    </w:p>
  </w:footnote>
  <w:footnote w:id="46">
    <w:p w14:paraId="20242630" w14:textId="6D2C5788" w:rsidR="00D4635F" w:rsidRPr="00F864F4" w:rsidRDefault="00D4635F" w:rsidP="00274378">
      <w:pPr>
        <w:pStyle w:val="FootnoteText"/>
        <w:rPr>
          <w:rFonts w:cs="Arial"/>
          <w:sz w:val="20"/>
        </w:rPr>
      </w:pPr>
      <w:r w:rsidRPr="00F864F4">
        <w:rPr>
          <w:rStyle w:val="FootnoteReference"/>
          <w:rFonts w:cs="Arial"/>
          <w:sz w:val="20"/>
        </w:rPr>
        <w:footnoteRef/>
      </w:r>
      <w:r w:rsidR="00FE5D50" w:rsidRPr="00F864F4">
        <w:rPr>
          <w:rFonts w:cs="Arial"/>
          <w:sz w:val="20"/>
        </w:rPr>
        <w:t xml:space="preserve"> Ibid 29.</w:t>
      </w:r>
    </w:p>
  </w:footnote>
  <w:footnote w:id="47">
    <w:p w14:paraId="3AE25EA8" w14:textId="2B81352C"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Newgate Research, </w:t>
      </w:r>
      <w:r w:rsidRPr="00F864F4">
        <w:rPr>
          <w:rFonts w:cs="Arial"/>
          <w:i/>
          <w:iCs/>
          <w:sz w:val="20"/>
        </w:rPr>
        <w:t>AEMC 2016 retail competition review: Understanding vulnerable customer experiences and needs</w:t>
      </w:r>
      <w:r w:rsidRPr="00F864F4">
        <w:rPr>
          <w:rFonts w:cs="Arial"/>
          <w:sz w:val="20"/>
        </w:rPr>
        <w:t xml:space="preserve">, Consumer research report, June 2016, 6-8.  </w:t>
      </w:r>
    </w:p>
  </w:footnote>
  <w:footnote w:id="48">
    <w:p w14:paraId="7D34BA3E" w14:textId="77777777" w:rsidR="00D4635F" w:rsidRPr="00F864F4" w:rsidRDefault="00D4635F" w:rsidP="00012C12">
      <w:pPr>
        <w:pStyle w:val="FootnoteText"/>
        <w:rPr>
          <w:rFonts w:cs="Arial"/>
          <w:sz w:val="20"/>
        </w:rPr>
      </w:pPr>
      <w:r w:rsidRPr="00F864F4">
        <w:rPr>
          <w:rStyle w:val="FootnoteReference"/>
          <w:rFonts w:cs="Arial"/>
          <w:sz w:val="20"/>
        </w:rPr>
        <w:footnoteRef/>
      </w:r>
      <w:r w:rsidRPr="00F864F4">
        <w:rPr>
          <w:rFonts w:cs="Arial"/>
          <w:sz w:val="20"/>
        </w:rPr>
        <w:t xml:space="preserve"> A </w:t>
      </w:r>
      <w:proofErr w:type="spellStart"/>
      <w:r w:rsidRPr="00F864F4">
        <w:rPr>
          <w:rFonts w:cs="Arial"/>
          <w:sz w:val="20"/>
        </w:rPr>
        <w:t>Lorec</w:t>
      </w:r>
      <w:proofErr w:type="spellEnd"/>
      <w:r w:rsidRPr="00F864F4">
        <w:rPr>
          <w:rFonts w:cs="Arial"/>
          <w:sz w:val="20"/>
        </w:rPr>
        <w:t xml:space="preserve">, L Pedro, B </w:t>
      </w:r>
      <w:proofErr w:type="spellStart"/>
      <w:r w:rsidRPr="00F864F4">
        <w:rPr>
          <w:rFonts w:cs="Arial"/>
          <w:sz w:val="20"/>
        </w:rPr>
        <w:t>Badesha</w:t>
      </w:r>
      <w:proofErr w:type="spellEnd"/>
      <w:r w:rsidRPr="00F864F4">
        <w:rPr>
          <w:rFonts w:cs="Arial"/>
          <w:sz w:val="20"/>
        </w:rPr>
        <w:t xml:space="preserve">, C </w:t>
      </w:r>
      <w:proofErr w:type="spellStart"/>
      <w:r w:rsidRPr="00F864F4">
        <w:rPr>
          <w:rFonts w:cs="Arial"/>
          <w:sz w:val="20"/>
        </w:rPr>
        <w:t>Dize</w:t>
      </w:r>
      <w:proofErr w:type="spellEnd"/>
      <w:r w:rsidRPr="00F864F4">
        <w:rPr>
          <w:rFonts w:cs="Arial"/>
          <w:sz w:val="20"/>
        </w:rPr>
        <w:t xml:space="preserve">, I </w:t>
      </w:r>
      <w:proofErr w:type="spellStart"/>
      <w:r w:rsidRPr="00F864F4">
        <w:rPr>
          <w:rFonts w:cs="Arial"/>
          <w:sz w:val="20"/>
        </w:rPr>
        <w:t>Fernow</w:t>
      </w:r>
      <w:proofErr w:type="spellEnd"/>
      <w:r w:rsidRPr="00F864F4">
        <w:rPr>
          <w:rFonts w:cs="Arial"/>
          <w:sz w:val="20"/>
        </w:rPr>
        <w:t xml:space="preserve">, L Dias, ‘Tackling fuel poverty through facilitating energy tariff switching: A participatory action research study in vulnerable groups’ (2013) 127 </w:t>
      </w:r>
      <w:r w:rsidRPr="00F864F4">
        <w:rPr>
          <w:rFonts w:cs="Arial"/>
          <w:i/>
          <w:sz w:val="20"/>
        </w:rPr>
        <w:t xml:space="preserve">Public Health </w:t>
      </w:r>
      <w:r w:rsidRPr="00F864F4">
        <w:rPr>
          <w:rFonts w:cs="Arial"/>
          <w:sz w:val="20"/>
        </w:rPr>
        <w:t>894.</w:t>
      </w:r>
    </w:p>
  </w:footnote>
  <w:footnote w:id="49">
    <w:p w14:paraId="2C8A2C86" w14:textId="77777777" w:rsidR="00D4635F" w:rsidRPr="00F864F4" w:rsidRDefault="00D4635F" w:rsidP="00012C12">
      <w:pPr>
        <w:pStyle w:val="FootnoteText"/>
        <w:rPr>
          <w:rFonts w:cs="Arial"/>
          <w:sz w:val="20"/>
        </w:rPr>
      </w:pPr>
      <w:r w:rsidRPr="00F864F4">
        <w:rPr>
          <w:rStyle w:val="FootnoteReference"/>
          <w:rFonts w:cs="Arial"/>
          <w:sz w:val="20"/>
        </w:rPr>
        <w:footnoteRef/>
      </w:r>
      <w:r w:rsidRPr="00F864F4">
        <w:rPr>
          <w:rFonts w:cs="Arial"/>
          <w:sz w:val="20"/>
        </w:rPr>
        <w:t xml:space="preserve"> Larissa Nicholls and Yolande Strengers, </w:t>
      </w:r>
      <w:r w:rsidRPr="00F864F4">
        <w:rPr>
          <w:rFonts w:cs="Arial"/>
          <w:i/>
          <w:sz w:val="20"/>
        </w:rPr>
        <w:t>Changing demand: Flexibility of energy practices in households with children—Final report</w:t>
      </w:r>
      <w:r w:rsidRPr="00F864F4">
        <w:rPr>
          <w:rFonts w:cs="Arial"/>
          <w:sz w:val="20"/>
        </w:rPr>
        <w:t>, Centre for Urban Research, RMIT University, January 2015.</w:t>
      </w:r>
    </w:p>
  </w:footnote>
  <w:footnote w:id="50">
    <w:p w14:paraId="5D013E4B" w14:textId="6D7C6C18" w:rsidR="00D4635F" w:rsidRPr="00F864F4" w:rsidRDefault="00D4635F">
      <w:pPr>
        <w:pStyle w:val="FootnoteText"/>
        <w:rPr>
          <w:rFonts w:cs="Arial"/>
          <w:sz w:val="20"/>
        </w:rPr>
      </w:pPr>
      <w:r w:rsidRPr="00F864F4">
        <w:rPr>
          <w:rStyle w:val="FootnoteReference"/>
          <w:rFonts w:cs="Arial"/>
          <w:sz w:val="20"/>
        </w:rPr>
        <w:footnoteRef/>
      </w:r>
      <w:r w:rsidR="00FE5D50" w:rsidRPr="00F864F4">
        <w:rPr>
          <w:rFonts w:cs="Arial"/>
          <w:sz w:val="20"/>
        </w:rPr>
        <w:t xml:space="preserve"> Australian Energy Regulator, </w:t>
      </w:r>
      <w:r w:rsidR="00FE5D50" w:rsidRPr="00F864F4">
        <w:rPr>
          <w:rFonts w:cs="Arial"/>
          <w:i/>
          <w:sz w:val="20"/>
        </w:rPr>
        <w:t>State of the Energy Market: May 2017</w:t>
      </w:r>
      <w:r w:rsidR="00FE5D50" w:rsidRPr="00F864F4">
        <w:rPr>
          <w:rFonts w:cs="Arial"/>
          <w:sz w:val="20"/>
        </w:rPr>
        <w:t xml:space="preserve">, 2017, </w:t>
      </w:r>
      <w:r w:rsidRPr="00F864F4">
        <w:rPr>
          <w:rFonts w:cs="Arial"/>
          <w:sz w:val="20"/>
        </w:rPr>
        <w:t>151.</w:t>
      </w:r>
    </w:p>
  </w:footnote>
  <w:footnote w:id="51">
    <w:p w14:paraId="5B6FD0E4" w14:textId="7D4AF9B6"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On inertia and bias in the energy market see </w:t>
      </w:r>
      <w:proofErr w:type="spellStart"/>
      <w:r w:rsidRPr="00F864F4">
        <w:rPr>
          <w:rFonts w:cs="Arial"/>
          <w:sz w:val="20"/>
        </w:rPr>
        <w:t>Oxera</w:t>
      </w:r>
      <w:proofErr w:type="spellEnd"/>
      <w:r w:rsidRPr="00F864F4">
        <w:rPr>
          <w:rFonts w:cs="Arial"/>
          <w:sz w:val="20"/>
        </w:rPr>
        <w:t xml:space="preserve"> Consulting, </w:t>
      </w:r>
      <w:r w:rsidRPr="00F864F4">
        <w:rPr>
          <w:rFonts w:cs="Arial"/>
          <w:i/>
          <w:iCs/>
          <w:sz w:val="20"/>
        </w:rPr>
        <w:t>Behavioural insights into Australian retail energy markets</w:t>
      </w:r>
      <w:r w:rsidRPr="00F864F4">
        <w:rPr>
          <w:rFonts w:cs="Arial"/>
          <w:sz w:val="20"/>
        </w:rPr>
        <w:t>, prepared for the Australian Energy Market Commission, 11 March 2016, 19-24.</w:t>
      </w:r>
    </w:p>
  </w:footnote>
  <w:footnote w:id="52">
    <w:p w14:paraId="00422AB2" w14:textId="060EFFEC" w:rsidR="00D4635F" w:rsidRPr="00F864F4" w:rsidRDefault="00D4635F">
      <w:pPr>
        <w:pStyle w:val="FootnoteText"/>
        <w:rPr>
          <w:rFonts w:cs="Arial"/>
          <w:sz w:val="20"/>
        </w:rPr>
      </w:pPr>
      <w:r w:rsidRPr="00F864F4">
        <w:rPr>
          <w:rStyle w:val="FootnoteReference"/>
          <w:rFonts w:cs="Arial"/>
          <w:sz w:val="20"/>
        </w:rPr>
        <w:footnoteRef/>
      </w:r>
      <w:r w:rsidRPr="00F864F4">
        <w:rPr>
          <w:rFonts w:cs="Arial"/>
          <w:sz w:val="20"/>
        </w:rPr>
        <w:t xml:space="preserve"> On these barriers to people’s engagement with the market see</w:t>
      </w:r>
      <w:r w:rsidR="00FE5D50" w:rsidRPr="00F864F4">
        <w:rPr>
          <w:rFonts w:cs="Arial"/>
          <w:sz w:val="20"/>
        </w:rPr>
        <w:t xml:space="preserve"> ibid</w:t>
      </w:r>
      <w:r w:rsidRPr="00F864F4">
        <w:rPr>
          <w:rFonts w:cs="Arial"/>
          <w:sz w:val="20"/>
        </w:rPr>
        <w:t xml:space="preserve"> 19-24.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14:paraId="53553B14" w14:textId="77777777" w:rsidR="00D4635F" w:rsidRDefault="00D4635F"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14:paraId="07C85E4A" w14:textId="77777777" w:rsidR="00D4635F" w:rsidRDefault="00D4635F"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088B6" w14:textId="6497DAC7" w:rsidR="00D4635F" w:rsidRDefault="00D4635F" w:rsidP="00CE5762">
    <w:pPr>
      <w:pStyle w:val="Header"/>
    </w:pPr>
    <w:r>
      <w:rPr>
        <w:noProof/>
        <w:lang w:val="en-AU" w:eastAsia="en-AU"/>
      </w:rPr>
      <w:drawing>
        <wp:anchor distT="0" distB="0" distL="114300" distR="114300" simplePos="0" relativeHeight="251657216" behindDoc="1" locked="0" layoutInCell="1" allowOverlap="1" wp14:anchorId="3B9CA686" wp14:editId="03AD2B4A">
          <wp:simplePos x="0" y="0"/>
          <wp:positionH relativeFrom="page">
            <wp:posOffset>0</wp:posOffset>
          </wp:positionH>
          <wp:positionV relativeFrom="page">
            <wp:posOffset>540385</wp:posOffset>
          </wp:positionV>
          <wp:extent cx="7559040" cy="76200"/>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9F6883"/>
    <w:multiLevelType w:val="hybridMultilevel"/>
    <w:tmpl w:val="61686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A484FC8"/>
    <w:multiLevelType w:val="hybridMultilevel"/>
    <w:tmpl w:val="C02E1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E04C51"/>
    <w:multiLevelType w:val="hybridMultilevel"/>
    <w:tmpl w:val="EE48D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133F8C"/>
    <w:multiLevelType w:val="hybridMultilevel"/>
    <w:tmpl w:val="2DF6B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4FD5DFF"/>
    <w:multiLevelType w:val="hybridMultilevel"/>
    <w:tmpl w:val="4ECC79EC"/>
    <w:lvl w:ilvl="0" w:tplc="D6D2EAEC">
      <w:numFmt w:val="bullet"/>
      <w:pStyle w:val="Boxlis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468057F9"/>
    <w:multiLevelType w:val="hybridMultilevel"/>
    <w:tmpl w:val="787C9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A44BEA"/>
    <w:multiLevelType w:val="hybridMultilevel"/>
    <w:tmpl w:val="41106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9865FA2"/>
    <w:multiLevelType w:val="hybridMultilevel"/>
    <w:tmpl w:val="04B00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BC3BA8"/>
    <w:multiLevelType w:val="hybridMultilevel"/>
    <w:tmpl w:val="1AD24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1" w15:restartNumberingAfterBreak="0">
    <w:nsid w:val="59C52D26"/>
    <w:multiLevelType w:val="hybridMultilevel"/>
    <w:tmpl w:val="9078D384"/>
    <w:lvl w:ilvl="0" w:tplc="0C090001">
      <w:start w:val="1"/>
      <w:numFmt w:val="bullet"/>
      <w:lvlText w:val=""/>
      <w:lvlJc w:val="left"/>
      <w:pPr>
        <w:ind w:left="905" w:hanging="360"/>
      </w:pPr>
      <w:rPr>
        <w:rFonts w:ascii="Symbol" w:hAnsi="Symbol" w:hint="default"/>
      </w:rPr>
    </w:lvl>
    <w:lvl w:ilvl="1" w:tplc="0C090003" w:tentative="1">
      <w:start w:val="1"/>
      <w:numFmt w:val="bullet"/>
      <w:lvlText w:val="o"/>
      <w:lvlJc w:val="left"/>
      <w:pPr>
        <w:ind w:left="1625" w:hanging="360"/>
      </w:pPr>
      <w:rPr>
        <w:rFonts w:ascii="Courier New" w:hAnsi="Courier New" w:cs="Courier New" w:hint="default"/>
      </w:rPr>
    </w:lvl>
    <w:lvl w:ilvl="2" w:tplc="0C090005" w:tentative="1">
      <w:start w:val="1"/>
      <w:numFmt w:val="bullet"/>
      <w:lvlText w:val=""/>
      <w:lvlJc w:val="left"/>
      <w:pPr>
        <w:ind w:left="2345" w:hanging="360"/>
      </w:pPr>
      <w:rPr>
        <w:rFonts w:ascii="Wingdings" w:hAnsi="Wingdings" w:hint="default"/>
      </w:rPr>
    </w:lvl>
    <w:lvl w:ilvl="3" w:tplc="0C090001" w:tentative="1">
      <w:start w:val="1"/>
      <w:numFmt w:val="bullet"/>
      <w:lvlText w:val=""/>
      <w:lvlJc w:val="left"/>
      <w:pPr>
        <w:ind w:left="3065" w:hanging="360"/>
      </w:pPr>
      <w:rPr>
        <w:rFonts w:ascii="Symbol" w:hAnsi="Symbol" w:hint="default"/>
      </w:rPr>
    </w:lvl>
    <w:lvl w:ilvl="4" w:tplc="0C090003" w:tentative="1">
      <w:start w:val="1"/>
      <w:numFmt w:val="bullet"/>
      <w:lvlText w:val="o"/>
      <w:lvlJc w:val="left"/>
      <w:pPr>
        <w:ind w:left="3785" w:hanging="360"/>
      </w:pPr>
      <w:rPr>
        <w:rFonts w:ascii="Courier New" w:hAnsi="Courier New" w:cs="Courier New" w:hint="default"/>
      </w:rPr>
    </w:lvl>
    <w:lvl w:ilvl="5" w:tplc="0C090005" w:tentative="1">
      <w:start w:val="1"/>
      <w:numFmt w:val="bullet"/>
      <w:lvlText w:val=""/>
      <w:lvlJc w:val="left"/>
      <w:pPr>
        <w:ind w:left="4505" w:hanging="360"/>
      </w:pPr>
      <w:rPr>
        <w:rFonts w:ascii="Wingdings" w:hAnsi="Wingdings" w:hint="default"/>
      </w:rPr>
    </w:lvl>
    <w:lvl w:ilvl="6" w:tplc="0C090001" w:tentative="1">
      <w:start w:val="1"/>
      <w:numFmt w:val="bullet"/>
      <w:lvlText w:val=""/>
      <w:lvlJc w:val="left"/>
      <w:pPr>
        <w:ind w:left="5225" w:hanging="360"/>
      </w:pPr>
      <w:rPr>
        <w:rFonts w:ascii="Symbol" w:hAnsi="Symbol" w:hint="default"/>
      </w:rPr>
    </w:lvl>
    <w:lvl w:ilvl="7" w:tplc="0C090003" w:tentative="1">
      <w:start w:val="1"/>
      <w:numFmt w:val="bullet"/>
      <w:lvlText w:val="o"/>
      <w:lvlJc w:val="left"/>
      <w:pPr>
        <w:ind w:left="5945" w:hanging="360"/>
      </w:pPr>
      <w:rPr>
        <w:rFonts w:ascii="Courier New" w:hAnsi="Courier New" w:cs="Courier New" w:hint="default"/>
      </w:rPr>
    </w:lvl>
    <w:lvl w:ilvl="8" w:tplc="0C090005" w:tentative="1">
      <w:start w:val="1"/>
      <w:numFmt w:val="bullet"/>
      <w:lvlText w:val=""/>
      <w:lvlJc w:val="left"/>
      <w:pPr>
        <w:ind w:left="6665" w:hanging="360"/>
      </w:pPr>
      <w:rPr>
        <w:rFonts w:ascii="Wingdings" w:hAnsi="Wingdings" w:hint="default"/>
      </w:rPr>
    </w:lvl>
  </w:abstractNum>
  <w:abstractNum w:abstractNumId="12" w15:restartNumberingAfterBreak="0">
    <w:nsid w:val="6C0D6FE8"/>
    <w:multiLevelType w:val="hybridMultilevel"/>
    <w:tmpl w:val="B8263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1657F46"/>
    <w:multiLevelType w:val="hybridMultilevel"/>
    <w:tmpl w:val="F1363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17A210D"/>
    <w:multiLevelType w:val="hybridMultilevel"/>
    <w:tmpl w:val="455A1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E1954F2"/>
    <w:multiLevelType w:val="hybridMultilevel"/>
    <w:tmpl w:val="40CAC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8"/>
  </w:num>
  <w:num w:numId="4">
    <w:abstractNumId w:val="3"/>
  </w:num>
  <w:num w:numId="5">
    <w:abstractNumId w:val="13"/>
  </w:num>
  <w:num w:numId="6">
    <w:abstractNumId w:val="14"/>
  </w:num>
  <w:num w:numId="7">
    <w:abstractNumId w:val="11"/>
  </w:num>
  <w:num w:numId="8">
    <w:abstractNumId w:val="0"/>
  </w:num>
  <w:num w:numId="9">
    <w:abstractNumId w:val="6"/>
  </w:num>
  <w:num w:numId="10">
    <w:abstractNumId w:val="15"/>
  </w:num>
  <w:num w:numId="11">
    <w:abstractNumId w:val="12"/>
  </w:num>
  <w:num w:numId="12">
    <w:abstractNumId w:val="7"/>
  </w:num>
  <w:num w:numId="13">
    <w:abstractNumId w:val="1"/>
  </w:num>
  <w:num w:numId="14">
    <w:abstractNumId w:val="9"/>
  </w:num>
  <w:num w:numId="15">
    <w:abstractNumId w:val="2"/>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422"/>
    <w:rsid w:val="00002013"/>
    <w:rsid w:val="00002906"/>
    <w:rsid w:val="000069F9"/>
    <w:rsid w:val="00007C97"/>
    <w:rsid w:val="000120DA"/>
    <w:rsid w:val="00012351"/>
    <w:rsid w:val="00012BA8"/>
    <w:rsid w:val="00012C12"/>
    <w:rsid w:val="00014C26"/>
    <w:rsid w:val="00016433"/>
    <w:rsid w:val="00016C08"/>
    <w:rsid w:val="0002250A"/>
    <w:rsid w:val="000241F2"/>
    <w:rsid w:val="00024E5D"/>
    <w:rsid w:val="00025381"/>
    <w:rsid w:val="00027A57"/>
    <w:rsid w:val="00030058"/>
    <w:rsid w:val="00030501"/>
    <w:rsid w:val="00030669"/>
    <w:rsid w:val="000332E7"/>
    <w:rsid w:val="00033B13"/>
    <w:rsid w:val="000341B0"/>
    <w:rsid w:val="00035AA1"/>
    <w:rsid w:val="000360ED"/>
    <w:rsid w:val="00037396"/>
    <w:rsid w:val="000405AA"/>
    <w:rsid w:val="000428BB"/>
    <w:rsid w:val="00042A82"/>
    <w:rsid w:val="00042CE5"/>
    <w:rsid w:val="00043470"/>
    <w:rsid w:val="00044339"/>
    <w:rsid w:val="00044618"/>
    <w:rsid w:val="00046181"/>
    <w:rsid w:val="0005052D"/>
    <w:rsid w:val="00051417"/>
    <w:rsid w:val="0005564C"/>
    <w:rsid w:val="00060F25"/>
    <w:rsid w:val="00061F2F"/>
    <w:rsid w:val="00062374"/>
    <w:rsid w:val="00062383"/>
    <w:rsid w:val="00063433"/>
    <w:rsid w:val="000636B9"/>
    <w:rsid w:val="00064596"/>
    <w:rsid w:val="000648D7"/>
    <w:rsid w:val="00064BF5"/>
    <w:rsid w:val="00065EDC"/>
    <w:rsid w:val="00070741"/>
    <w:rsid w:val="00072881"/>
    <w:rsid w:val="000739F8"/>
    <w:rsid w:val="00073C5E"/>
    <w:rsid w:val="00076260"/>
    <w:rsid w:val="000772E2"/>
    <w:rsid w:val="000825A1"/>
    <w:rsid w:val="00091D1D"/>
    <w:rsid w:val="00091ED7"/>
    <w:rsid w:val="0009352D"/>
    <w:rsid w:val="0009377F"/>
    <w:rsid w:val="000979B1"/>
    <w:rsid w:val="000A20C6"/>
    <w:rsid w:val="000A5AA7"/>
    <w:rsid w:val="000A6FCD"/>
    <w:rsid w:val="000B13EC"/>
    <w:rsid w:val="000B1851"/>
    <w:rsid w:val="000B1C6D"/>
    <w:rsid w:val="000B2C87"/>
    <w:rsid w:val="000B2D2B"/>
    <w:rsid w:val="000B323B"/>
    <w:rsid w:val="000B4CD3"/>
    <w:rsid w:val="000B5E7D"/>
    <w:rsid w:val="000C1220"/>
    <w:rsid w:val="000C354E"/>
    <w:rsid w:val="000C5440"/>
    <w:rsid w:val="000C6147"/>
    <w:rsid w:val="000C7572"/>
    <w:rsid w:val="000C75B3"/>
    <w:rsid w:val="000D2CD9"/>
    <w:rsid w:val="000D464A"/>
    <w:rsid w:val="000D6910"/>
    <w:rsid w:val="000E1AD9"/>
    <w:rsid w:val="000E321C"/>
    <w:rsid w:val="000E3CDD"/>
    <w:rsid w:val="000E4D74"/>
    <w:rsid w:val="000F02FF"/>
    <w:rsid w:val="000F06D5"/>
    <w:rsid w:val="000F0F88"/>
    <w:rsid w:val="000F4F32"/>
    <w:rsid w:val="000F6846"/>
    <w:rsid w:val="000F6F41"/>
    <w:rsid w:val="000F7187"/>
    <w:rsid w:val="0010101A"/>
    <w:rsid w:val="00102A1E"/>
    <w:rsid w:val="00102FD0"/>
    <w:rsid w:val="00103193"/>
    <w:rsid w:val="00110E53"/>
    <w:rsid w:val="00111CD0"/>
    <w:rsid w:val="00113268"/>
    <w:rsid w:val="001144D8"/>
    <w:rsid w:val="00114985"/>
    <w:rsid w:val="00115549"/>
    <w:rsid w:val="00116260"/>
    <w:rsid w:val="00116781"/>
    <w:rsid w:val="00120393"/>
    <w:rsid w:val="00121D1E"/>
    <w:rsid w:val="001223CA"/>
    <w:rsid w:val="001239EC"/>
    <w:rsid w:val="00124DC8"/>
    <w:rsid w:val="00124F94"/>
    <w:rsid w:val="00125346"/>
    <w:rsid w:val="0012705D"/>
    <w:rsid w:val="00131A4B"/>
    <w:rsid w:val="00133F3A"/>
    <w:rsid w:val="00135A7A"/>
    <w:rsid w:val="00137CC3"/>
    <w:rsid w:val="00140766"/>
    <w:rsid w:val="00140783"/>
    <w:rsid w:val="001420F8"/>
    <w:rsid w:val="001426B6"/>
    <w:rsid w:val="00144147"/>
    <w:rsid w:val="00145600"/>
    <w:rsid w:val="001463FC"/>
    <w:rsid w:val="0014686D"/>
    <w:rsid w:val="00150636"/>
    <w:rsid w:val="00150D96"/>
    <w:rsid w:val="00151996"/>
    <w:rsid w:val="00152572"/>
    <w:rsid w:val="00157035"/>
    <w:rsid w:val="001571FE"/>
    <w:rsid w:val="00157BB0"/>
    <w:rsid w:val="00157D58"/>
    <w:rsid w:val="001607B4"/>
    <w:rsid w:val="00161346"/>
    <w:rsid w:val="00162049"/>
    <w:rsid w:val="001642A2"/>
    <w:rsid w:val="001677E0"/>
    <w:rsid w:val="001679B8"/>
    <w:rsid w:val="001701DE"/>
    <w:rsid w:val="001721D7"/>
    <w:rsid w:val="00172C6D"/>
    <w:rsid w:val="00174AD3"/>
    <w:rsid w:val="00176803"/>
    <w:rsid w:val="001770A1"/>
    <w:rsid w:val="00177897"/>
    <w:rsid w:val="001800FF"/>
    <w:rsid w:val="00180405"/>
    <w:rsid w:val="00181668"/>
    <w:rsid w:val="001816A1"/>
    <w:rsid w:val="0018266E"/>
    <w:rsid w:val="00184054"/>
    <w:rsid w:val="001845D9"/>
    <w:rsid w:val="00184688"/>
    <w:rsid w:val="001846A0"/>
    <w:rsid w:val="00185674"/>
    <w:rsid w:val="00186217"/>
    <w:rsid w:val="00186493"/>
    <w:rsid w:val="001865C7"/>
    <w:rsid w:val="00186BC5"/>
    <w:rsid w:val="00187D24"/>
    <w:rsid w:val="0019097F"/>
    <w:rsid w:val="00190C5C"/>
    <w:rsid w:val="001963B9"/>
    <w:rsid w:val="001966EC"/>
    <w:rsid w:val="00196735"/>
    <w:rsid w:val="00197124"/>
    <w:rsid w:val="001A3EC1"/>
    <w:rsid w:val="001A5D80"/>
    <w:rsid w:val="001B030D"/>
    <w:rsid w:val="001B0CA7"/>
    <w:rsid w:val="001B273C"/>
    <w:rsid w:val="001B3D7A"/>
    <w:rsid w:val="001B5811"/>
    <w:rsid w:val="001B585D"/>
    <w:rsid w:val="001B5DBC"/>
    <w:rsid w:val="001B6251"/>
    <w:rsid w:val="001B644F"/>
    <w:rsid w:val="001B7EB4"/>
    <w:rsid w:val="001C261F"/>
    <w:rsid w:val="001C3985"/>
    <w:rsid w:val="001C4FCD"/>
    <w:rsid w:val="001C6328"/>
    <w:rsid w:val="001C67E2"/>
    <w:rsid w:val="001C6D80"/>
    <w:rsid w:val="001C6DA8"/>
    <w:rsid w:val="001D20CC"/>
    <w:rsid w:val="001D2404"/>
    <w:rsid w:val="001D391F"/>
    <w:rsid w:val="001D78C0"/>
    <w:rsid w:val="001E0189"/>
    <w:rsid w:val="001E1EC7"/>
    <w:rsid w:val="001E2196"/>
    <w:rsid w:val="001E2558"/>
    <w:rsid w:val="001E3D1C"/>
    <w:rsid w:val="001E6F64"/>
    <w:rsid w:val="001F09AB"/>
    <w:rsid w:val="001F0F30"/>
    <w:rsid w:val="001F42A5"/>
    <w:rsid w:val="001F6FF3"/>
    <w:rsid w:val="00200984"/>
    <w:rsid w:val="00201D62"/>
    <w:rsid w:val="002021A9"/>
    <w:rsid w:val="00202B12"/>
    <w:rsid w:val="00202B4F"/>
    <w:rsid w:val="00203834"/>
    <w:rsid w:val="00203D3A"/>
    <w:rsid w:val="0020439E"/>
    <w:rsid w:val="00205D18"/>
    <w:rsid w:val="00206469"/>
    <w:rsid w:val="0020752B"/>
    <w:rsid w:val="002103F0"/>
    <w:rsid w:val="00210665"/>
    <w:rsid w:val="00211315"/>
    <w:rsid w:val="0021268B"/>
    <w:rsid w:val="0021302B"/>
    <w:rsid w:val="00213510"/>
    <w:rsid w:val="002142C6"/>
    <w:rsid w:val="0021457F"/>
    <w:rsid w:val="002161C1"/>
    <w:rsid w:val="00216F25"/>
    <w:rsid w:val="00217F81"/>
    <w:rsid w:val="0022065D"/>
    <w:rsid w:val="00223F9E"/>
    <w:rsid w:val="002252CF"/>
    <w:rsid w:val="002254B8"/>
    <w:rsid w:val="002265A9"/>
    <w:rsid w:val="00226680"/>
    <w:rsid w:val="00233087"/>
    <w:rsid w:val="002367AB"/>
    <w:rsid w:val="002372B0"/>
    <w:rsid w:val="00240079"/>
    <w:rsid w:val="00244287"/>
    <w:rsid w:val="002452F9"/>
    <w:rsid w:val="00245FB6"/>
    <w:rsid w:val="0024777B"/>
    <w:rsid w:val="002501E5"/>
    <w:rsid w:val="002505E9"/>
    <w:rsid w:val="002521FD"/>
    <w:rsid w:val="0025246F"/>
    <w:rsid w:val="002537EC"/>
    <w:rsid w:val="00253E77"/>
    <w:rsid w:val="002557EE"/>
    <w:rsid w:val="00256E50"/>
    <w:rsid w:val="00256EE3"/>
    <w:rsid w:val="002606E8"/>
    <w:rsid w:val="00263293"/>
    <w:rsid w:val="002636A3"/>
    <w:rsid w:val="00264F10"/>
    <w:rsid w:val="00265E70"/>
    <w:rsid w:val="00266511"/>
    <w:rsid w:val="00267691"/>
    <w:rsid w:val="00270323"/>
    <w:rsid w:val="00271F0B"/>
    <w:rsid w:val="00272E0E"/>
    <w:rsid w:val="002731D0"/>
    <w:rsid w:val="00273537"/>
    <w:rsid w:val="00274378"/>
    <w:rsid w:val="00275A8F"/>
    <w:rsid w:val="00276268"/>
    <w:rsid w:val="00276B85"/>
    <w:rsid w:val="00277267"/>
    <w:rsid w:val="0028214A"/>
    <w:rsid w:val="00282A96"/>
    <w:rsid w:val="002836D5"/>
    <w:rsid w:val="00283C66"/>
    <w:rsid w:val="002909C4"/>
    <w:rsid w:val="00290A1D"/>
    <w:rsid w:val="00291398"/>
    <w:rsid w:val="0029165B"/>
    <w:rsid w:val="00292747"/>
    <w:rsid w:val="00295616"/>
    <w:rsid w:val="002963A2"/>
    <w:rsid w:val="002963F5"/>
    <w:rsid w:val="002A0861"/>
    <w:rsid w:val="002A24DF"/>
    <w:rsid w:val="002A252A"/>
    <w:rsid w:val="002A3389"/>
    <w:rsid w:val="002A4ED8"/>
    <w:rsid w:val="002A7122"/>
    <w:rsid w:val="002A7AB6"/>
    <w:rsid w:val="002B0AA4"/>
    <w:rsid w:val="002B1E2C"/>
    <w:rsid w:val="002B2BCF"/>
    <w:rsid w:val="002B3596"/>
    <w:rsid w:val="002B6893"/>
    <w:rsid w:val="002B73FD"/>
    <w:rsid w:val="002C0E86"/>
    <w:rsid w:val="002C3F90"/>
    <w:rsid w:val="002C4630"/>
    <w:rsid w:val="002C6791"/>
    <w:rsid w:val="002D0C62"/>
    <w:rsid w:val="002D0F7B"/>
    <w:rsid w:val="002D294A"/>
    <w:rsid w:val="002D3396"/>
    <w:rsid w:val="002D378B"/>
    <w:rsid w:val="002D7BF0"/>
    <w:rsid w:val="002D7C2A"/>
    <w:rsid w:val="002E2EFB"/>
    <w:rsid w:val="002E315D"/>
    <w:rsid w:val="002E483C"/>
    <w:rsid w:val="002E56AA"/>
    <w:rsid w:val="002F038E"/>
    <w:rsid w:val="002F0FE8"/>
    <w:rsid w:val="002F20D2"/>
    <w:rsid w:val="002F35FC"/>
    <w:rsid w:val="002F7FAC"/>
    <w:rsid w:val="00300B12"/>
    <w:rsid w:val="00301923"/>
    <w:rsid w:val="00303CFB"/>
    <w:rsid w:val="003052E7"/>
    <w:rsid w:val="003061D9"/>
    <w:rsid w:val="00306C39"/>
    <w:rsid w:val="0031092D"/>
    <w:rsid w:val="00311767"/>
    <w:rsid w:val="00315CEC"/>
    <w:rsid w:val="0031616F"/>
    <w:rsid w:val="003173BD"/>
    <w:rsid w:val="003206BA"/>
    <w:rsid w:val="00321734"/>
    <w:rsid w:val="00322750"/>
    <w:rsid w:val="00324EFF"/>
    <w:rsid w:val="003270E4"/>
    <w:rsid w:val="00332422"/>
    <w:rsid w:val="003328CD"/>
    <w:rsid w:val="0033740F"/>
    <w:rsid w:val="00337E97"/>
    <w:rsid w:val="00337F8A"/>
    <w:rsid w:val="003412A0"/>
    <w:rsid w:val="00342911"/>
    <w:rsid w:val="00342A6B"/>
    <w:rsid w:val="00343715"/>
    <w:rsid w:val="00346FFE"/>
    <w:rsid w:val="00347957"/>
    <w:rsid w:val="00352809"/>
    <w:rsid w:val="003528C9"/>
    <w:rsid w:val="00357AB0"/>
    <w:rsid w:val="0036039A"/>
    <w:rsid w:val="003628CC"/>
    <w:rsid w:val="003633B7"/>
    <w:rsid w:val="00363772"/>
    <w:rsid w:val="00363E5D"/>
    <w:rsid w:val="003648BA"/>
    <w:rsid w:val="00366610"/>
    <w:rsid w:val="003677FD"/>
    <w:rsid w:val="00367902"/>
    <w:rsid w:val="0037078A"/>
    <w:rsid w:val="00370B78"/>
    <w:rsid w:val="00372B31"/>
    <w:rsid w:val="00373C01"/>
    <w:rsid w:val="00374C3D"/>
    <w:rsid w:val="00375D13"/>
    <w:rsid w:val="00383209"/>
    <w:rsid w:val="00383244"/>
    <w:rsid w:val="0038432B"/>
    <w:rsid w:val="003854BE"/>
    <w:rsid w:val="0038659B"/>
    <w:rsid w:val="00386D8A"/>
    <w:rsid w:val="00391890"/>
    <w:rsid w:val="003929B3"/>
    <w:rsid w:val="00395056"/>
    <w:rsid w:val="0039775D"/>
    <w:rsid w:val="00397CA6"/>
    <w:rsid w:val="003A1192"/>
    <w:rsid w:val="003A29A5"/>
    <w:rsid w:val="003A422F"/>
    <w:rsid w:val="003A78E0"/>
    <w:rsid w:val="003A7ED7"/>
    <w:rsid w:val="003A7FD0"/>
    <w:rsid w:val="003B393C"/>
    <w:rsid w:val="003B42B8"/>
    <w:rsid w:val="003B506D"/>
    <w:rsid w:val="003B5381"/>
    <w:rsid w:val="003B583C"/>
    <w:rsid w:val="003B6C14"/>
    <w:rsid w:val="003C0AC3"/>
    <w:rsid w:val="003C5595"/>
    <w:rsid w:val="003D1154"/>
    <w:rsid w:val="003D18A2"/>
    <w:rsid w:val="003D1F99"/>
    <w:rsid w:val="003D443D"/>
    <w:rsid w:val="003E3530"/>
    <w:rsid w:val="003E490D"/>
    <w:rsid w:val="003E6732"/>
    <w:rsid w:val="003E77D8"/>
    <w:rsid w:val="003F14C9"/>
    <w:rsid w:val="003F2330"/>
    <w:rsid w:val="003F2801"/>
    <w:rsid w:val="003F323D"/>
    <w:rsid w:val="003F3420"/>
    <w:rsid w:val="003F4793"/>
    <w:rsid w:val="003F5827"/>
    <w:rsid w:val="003F7296"/>
    <w:rsid w:val="003F7AD0"/>
    <w:rsid w:val="0040040F"/>
    <w:rsid w:val="004005D6"/>
    <w:rsid w:val="00404201"/>
    <w:rsid w:val="00404408"/>
    <w:rsid w:val="004108C7"/>
    <w:rsid w:val="00412991"/>
    <w:rsid w:val="00413103"/>
    <w:rsid w:val="00415522"/>
    <w:rsid w:val="004169D1"/>
    <w:rsid w:val="00416CEE"/>
    <w:rsid w:val="00417650"/>
    <w:rsid w:val="00417892"/>
    <w:rsid w:val="00420682"/>
    <w:rsid w:val="00424358"/>
    <w:rsid w:val="00424F80"/>
    <w:rsid w:val="0042646B"/>
    <w:rsid w:val="00433FB2"/>
    <w:rsid w:val="00434611"/>
    <w:rsid w:val="00436239"/>
    <w:rsid w:val="00440A13"/>
    <w:rsid w:val="004423C9"/>
    <w:rsid w:val="004436A0"/>
    <w:rsid w:val="00444394"/>
    <w:rsid w:val="004448BE"/>
    <w:rsid w:val="0044643E"/>
    <w:rsid w:val="00446931"/>
    <w:rsid w:val="00447EC7"/>
    <w:rsid w:val="00451514"/>
    <w:rsid w:val="004518E8"/>
    <w:rsid w:val="00453170"/>
    <w:rsid w:val="00453B89"/>
    <w:rsid w:val="00455B11"/>
    <w:rsid w:val="00456CC7"/>
    <w:rsid w:val="004571B1"/>
    <w:rsid w:val="0045741B"/>
    <w:rsid w:val="0046035F"/>
    <w:rsid w:val="00461195"/>
    <w:rsid w:val="004616E3"/>
    <w:rsid w:val="00464916"/>
    <w:rsid w:val="00470E9B"/>
    <w:rsid w:val="00474109"/>
    <w:rsid w:val="004755A8"/>
    <w:rsid w:val="0047570B"/>
    <w:rsid w:val="00475887"/>
    <w:rsid w:val="00475D00"/>
    <w:rsid w:val="00476907"/>
    <w:rsid w:val="0048147B"/>
    <w:rsid w:val="0048576F"/>
    <w:rsid w:val="00485892"/>
    <w:rsid w:val="004863FB"/>
    <w:rsid w:val="004911D0"/>
    <w:rsid w:val="00492027"/>
    <w:rsid w:val="0049202A"/>
    <w:rsid w:val="004925F1"/>
    <w:rsid w:val="0049382D"/>
    <w:rsid w:val="004943E5"/>
    <w:rsid w:val="004957C1"/>
    <w:rsid w:val="00495C2F"/>
    <w:rsid w:val="00497747"/>
    <w:rsid w:val="004A2CBA"/>
    <w:rsid w:val="004A472F"/>
    <w:rsid w:val="004A4B01"/>
    <w:rsid w:val="004A5837"/>
    <w:rsid w:val="004B0AED"/>
    <w:rsid w:val="004B3749"/>
    <w:rsid w:val="004B4A38"/>
    <w:rsid w:val="004C181C"/>
    <w:rsid w:val="004C3007"/>
    <w:rsid w:val="004C3261"/>
    <w:rsid w:val="004C3DC2"/>
    <w:rsid w:val="004C4BF6"/>
    <w:rsid w:val="004C507B"/>
    <w:rsid w:val="004C6291"/>
    <w:rsid w:val="004C7127"/>
    <w:rsid w:val="004C754F"/>
    <w:rsid w:val="004C774A"/>
    <w:rsid w:val="004D0FB8"/>
    <w:rsid w:val="004D284D"/>
    <w:rsid w:val="004D293C"/>
    <w:rsid w:val="004D4DBB"/>
    <w:rsid w:val="004D5230"/>
    <w:rsid w:val="004D5601"/>
    <w:rsid w:val="004D640A"/>
    <w:rsid w:val="004D677C"/>
    <w:rsid w:val="004D7734"/>
    <w:rsid w:val="004D7D2F"/>
    <w:rsid w:val="004D7F84"/>
    <w:rsid w:val="004E0C87"/>
    <w:rsid w:val="004E260A"/>
    <w:rsid w:val="004E30ED"/>
    <w:rsid w:val="004E493A"/>
    <w:rsid w:val="004E6B4E"/>
    <w:rsid w:val="004E7FDB"/>
    <w:rsid w:val="004F1836"/>
    <w:rsid w:val="004F1D5C"/>
    <w:rsid w:val="004F50AE"/>
    <w:rsid w:val="004F527B"/>
    <w:rsid w:val="004F5665"/>
    <w:rsid w:val="004F5BA3"/>
    <w:rsid w:val="004F5FDF"/>
    <w:rsid w:val="004F7232"/>
    <w:rsid w:val="004F775A"/>
    <w:rsid w:val="005012A0"/>
    <w:rsid w:val="00504CAE"/>
    <w:rsid w:val="00507679"/>
    <w:rsid w:val="0051091E"/>
    <w:rsid w:val="00511461"/>
    <w:rsid w:val="0051299C"/>
    <w:rsid w:val="00513F93"/>
    <w:rsid w:val="00515041"/>
    <w:rsid w:val="00516FF0"/>
    <w:rsid w:val="005220BD"/>
    <w:rsid w:val="005260C8"/>
    <w:rsid w:val="00526E00"/>
    <w:rsid w:val="00527425"/>
    <w:rsid w:val="0052757F"/>
    <w:rsid w:val="005277A3"/>
    <w:rsid w:val="00527B1A"/>
    <w:rsid w:val="00530E8F"/>
    <w:rsid w:val="0053196F"/>
    <w:rsid w:val="00531CBE"/>
    <w:rsid w:val="005333A4"/>
    <w:rsid w:val="005374FA"/>
    <w:rsid w:val="0053791C"/>
    <w:rsid w:val="005411B9"/>
    <w:rsid w:val="00542042"/>
    <w:rsid w:val="00543A97"/>
    <w:rsid w:val="00544D7D"/>
    <w:rsid w:val="0054574F"/>
    <w:rsid w:val="0054596A"/>
    <w:rsid w:val="005525AD"/>
    <w:rsid w:val="00554298"/>
    <w:rsid w:val="005545D2"/>
    <w:rsid w:val="00554E09"/>
    <w:rsid w:val="0055662E"/>
    <w:rsid w:val="00556DF0"/>
    <w:rsid w:val="00556E66"/>
    <w:rsid w:val="00560405"/>
    <w:rsid w:val="005619E4"/>
    <w:rsid w:val="00562B71"/>
    <w:rsid w:val="00564D3E"/>
    <w:rsid w:val="00566090"/>
    <w:rsid w:val="005669F8"/>
    <w:rsid w:val="0056717B"/>
    <w:rsid w:val="005706FB"/>
    <w:rsid w:val="0057070E"/>
    <w:rsid w:val="00574CAE"/>
    <w:rsid w:val="0057514F"/>
    <w:rsid w:val="00580A0A"/>
    <w:rsid w:val="005826AE"/>
    <w:rsid w:val="00582E5E"/>
    <w:rsid w:val="005833F7"/>
    <w:rsid w:val="00583743"/>
    <w:rsid w:val="005840C3"/>
    <w:rsid w:val="005858F3"/>
    <w:rsid w:val="005876E3"/>
    <w:rsid w:val="00591316"/>
    <w:rsid w:val="0059150E"/>
    <w:rsid w:val="00592597"/>
    <w:rsid w:val="005927CA"/>
    <w:rsid w:val="00593817"/>
    <w:rsid w:val="005947FF"/>
    <w:rsid w:val="00595DBB"/>
    <w:rsid w:val="00596A7A"/>
    <w:rsid w:val="005A0082"/>
    <w:rsid w:val="005A008D"/>
    <w:rsid w:val="005A016C"/>
    <w:rsid w:val="005A433D"/>
    <w:rsid w:val="005A45D3"/>
    <w:rsid w:val="005A4977"/>
    <w:rsid w:val="005A4F17"/>
    <w:rsid w:val="005A6E68"/>
    <w:rsid w:val="005B0360"/>
    <w:rsid w:val="005B23C5"/>
    <w:rsid w:val="005B35A1"/>
    <w:rsid w:val="005B3613"/>
    <w:rsid w:val="005B4FE6"/>
    <w:rsid w:val="005B5604"/>
    <w:rsid w:val="005B5E7E"/>
    <w:rsid w:val="005C2B0C"/>
    <w:rsid w:val="005C2FAD"/>
    <w:rsid w:val="005C650B"/>
    <w:rsid w:val="005C7A50"/>
    <w:rsid w:val="005C7EF6"/>
    <w:rsid w:val="005D0A42"/>
    <w:rsid w:val="005D2353"/>
    <w:rsid w:val="005D2943"/>
    <w:rsid w:val="005D3E6C"/>
    <w:rsid w:val="005D604C"/>
    <w:rsid w:val="005D737B"/>
    <w:rsid w:val="005E04D9"/>
    <w:rsid w:val="005E14D4"/>
    <w:rsid w:val="005E1682"/>
    <w:rsid w:val="005E1DD9"/>
    <w:rsid w:val="005E387E"/>
    <w:rsid w:val="005E404F"/>
    <w:rsid w:val="005E5295"/>
    <w:rsid w:val="005F0098"/>
    <w:rsid w:val="005F1C96"/>
    <w:rsid w:val="005F2B93"/>
    <w:rsid w:val="005F46B0"/>
    <w:rsid w:val="005F4B15"/>
    <w:rsid w:val="005F6B3E"/>
    <w:rsid w:val="00600151"/>
    <w:rsid w:val="0060056B"/>
    <w:rsid w:val="00602A08"/>
    <w:rsid w:val="006041A5"/>
    <w:rsid w:val="00605BD2"/>
    <w:rsid w:val="00607520"/>
    <w:rsid w:val="0061695C"/>
    <w:rsid w:val="00617D53"/>
    <w:rsid w:val="00624235"/>
    <w:rsid w:val="006246B4"/>
    <w:rsid w:val="00626B0D"/>
    <w:rsid w:val="00632705"/>
    <w:rsid w:val="006327F2"/>
    <w:rsid w:val="00636235"/>
    <w:rsid w:val="006376FD"/>
    <w:rsid w:val="00641269"/>
    <w:rsid w:val="006422C6"/>
    <w:rsid w:val="0064237E"/>
    <w:rsid w:val="00643157"/>
    <w:rsid w:val="006440F8"/>
    <w:rsid w:val="0064429D"/>
    <w:rsid w:val="00646D88"/>
    <w:rsid w:val="00647C1B"/>
    <w:rsid w:val="006506F3"/>
    <w:rsid w:val="006529B5"/>
    <w:rsid w:val="0065415E"/>
    <w:rsid w:val="006554CE"/>
    <w:rsid w:val="00657965"/>
    <w:rsid w:val="006604C0"/>
    <w:rsid w:val="00663591"/>
    <w:rsid w:val="0066562C"/>
    <w:rsid w:val="00667887"/>
    <w:rsid w:val="006679FE"/>
    <w:rsid w:val="006704DC"/>
    <w:rsid w:val="00671484"/>
    <w:rsid w:val="006715FD"/>
    <w:rsid w:val="006720A0"/>
    <w:rsid w:val="00672AE3"/>
    <w:rsid w:val="0067336D"/>
    <w:rsid w:val="00676DCE"/>
    <w:rsid w:val="00677979"/>
    <w:rsid w:val="00685DF3"/>
    <w:rsid w:val="0068648E"/>
    <w:rsid w:val="00686728"/>
    <w:rsid w:val="0068756F"/>
    <w:rsid w:val="006900FE"/>
    <w:rsid w:val="006906C9"/>
    <w:rsid w:val="00693667"/>
    <w:rsid w:val="00694D06"/>
    <w:rsid w:val="00696BE1"/>
    <w:rsid w:val="006A1A2E"/>
    <w:rsid w:val="006A21C7"/>
    <w:rsid w:val="006A2CB7"/>
    <w:rsid w:val="006B00F5"/>
    <w:rsid w:val="006B1129"/>
    <w:rsid w:val="006B1DA2"/>
    <w:rsid w:val="006B2669"/>
    <w:rsid w:val="006B30FF"/>
    <w:rsid w:val="006B4613"/>
    <w:rsid w:val="006B5BFA"/>
    <w:rsid w:val="006C06CB"/>
    <w:rsid w:val="006C087A"/>
    <w:rsid w:val="006C38C8"/>
    <w:rsid w:val="006C38F7"/>
    <w:rsid w:val="006C5587"/>
    <w:rsid w:val="006C5DA5"/>
    <w:rsid w:val="006C6AE8"/>
    <w:rsid w:val="006C6E45"/>
    <w:rsid w:val="006D06C8"/>
    <w:rsid w:val="006D1CC2"/>
    <w:rsid w:val="006D363D"/>
    <w:rsid w:val="006D40FA"/>
    <w:rsid w:val="006D5253"/>
    <w:rsid w:val="006D56D4"/>
    <w:rsid w:val="006D5E50"/>
    <w:rsid w:val="006D7B56"/>
    <w:rsid w:val="006E173B"/>
    <w:rsid w:val="006E28D0"/>
    <w:rsid w:val="006E3209"/>
    <w:rsid w:val="006E440B"/>
    <w:rsid w:val="006E4F8F"/>
    <w:rsid w:val="006F0240"/>
    <w:rsid w:val="006F0D63"/>
    <w:rsid w:val="006F0FDC"/>
    <w:rsid w:val="006F511D"/>
    <w:rsid w:val="006F625B"/>
    <w:rsid w:val="006F68AF"/>
    <w:rsid w:val="00700BC1"/>
    <w:rsid w:val="00700EF7"/>
    <w:rsid w:val="00701031"/>
    <w:rsid w:val="007010D3"/>
    <w:rsid w:val="007027CB"/>
    <w:rsid w:val="007054CD"/>
    <w:rsid w:val="00705D20"/>
    <w:rsid w:val="0070607E"/>
    <w:rsid w:val="007077D9"/>
    <w:rsid w:val="00707ECE"/>
    <w:rsid w:val="00711001"/>
    <w:rsid w:val="00711828"/>
    <w:rsid w:val="00711950"/>
    <w:rsid w:val="00711BA7"/>
    <w:rsid w:val="0071353D"/>
    <w:rsid w:val="00713E82"/>
    <w:rsid w:val="00715B4C"/>
    <w:rsid w:val="007161C3"/>
    <w:rsid w:val="0071751A"/>
    <w:rsid w:val="00720D9E"/>
    <w:rsid w:val="00721F6B"/>
    <w:rsid w:val="00722C3E"/>
    <w:rsid w:val="007261F7"/>
    <w:rsid w:val="00730636"/>
    <w:rsid w:val="0073106B"/>
    <w:rsid w:val="00732C2E"/>
    <w:rsid w:val="00733361"/>
    <w:rsid w:val="00734288"/>
    <w:rsid w:val="00737644"/>
    <w:rsid w:val="00737D5C"/>
    <w:rsid w:val="0074096B"/>
    <w:rsid w:val="00740BAA"/>
    <w:rsid w:val="00744547"/>
    <w:rsid w:val="0074499C"/>
    <w:rsid w:val="007451FE"/>
    <w:rsid w:val="00745F68"/>
    <w:rsid w:val="007468CA"/>
    <w:rsid w:val="0075322F"/>
    <w:rsid w:val="00753584"/>
    <w:rsid w:val="007538BC"/>
    <w:rsid w:val="007546BE"/>
    <w:rsid w:val="0076119E"/>
    <w:rsid w:val="0076141E"/>
    <w:rsid w:val="007631B8"/>
    <w:rsid w:val="00763EDB"/>
    <w:rsid w:val="007655E0"/>
    <w:rsid w:val="00767480"/>
    <w:rsid w:val="00767EE2"/>
    <w:rsid w:val="00770154"/>
    <w:rsid w:val="00770916"/>
    <w:rsid w:val="007712D8"/>
    <w:rsid w:val="007717A6"/>
    <w:rsid w:val="007736C2"/>
    <w:rsid w:val="007746E0"/>
    <w:rsid w:val="00775B09"/>
    <w:rsid w:val="00775CD6"/>
    <w:rsid w:val="007777A6"/>
    <w:rsid w:val="00777FA3"/>
    <w:rsid w:val="0078268B"/>
    <w:rsid w:val="00782A1F"/>
    <w:rsid w:val="00782B09"/>
    <w:rsid w:val="0078361E"/>
    <w:rsid w:val="00783F41"/>
    <w:rsid w:val="00784C01"/>
    <w:rsid w:val="00784F30"/>
    <w:rsid w:val="00785FF0"/>
    <w:rsid w:val="00790031"/>
    <w:rsid w:val="007906E8"/>
    <w:rsid w:val="00791679"/>
    <w:rsid w:val="007918CD"/>
    <w:rsid w:val="0079290A"/>
    <w:rsid w:val="00792E64"/>
    <w:rsid w:val="007967F5"/>
    <w:rsid w:val="00796AB5"/>
    <w:rsid w:val="00796B90"/>
    <w:rsid w:val="007971D4"/>
    <w:rsid w:val="0079795D"/>
    <w:rsid w:val="007A0C9B"/>
    <w:rsid w:val="007A1912"/>
    <w:rsid w:val="007A2041"/>
    <w:rsid w:val="007A2C01"/>
    <w:rsid w:val="007A3689"/>
    <w:rsid w:val="007A4592"/>
    <w:rsid w:val="007A55D7"/>
    <w:rsid w:val="007A5668"/>
    <w:rsid w:val="007A627F"/>
    <w:rsid w:val="007B4486"/>
    <w:rsid w:val="007B63FA"/>
    <w:rsid w:val="007B6CBA"/>
    <w:rsid w:val="007B7F54"/>
    <w:rsid w:val="007C05F2"/>
    <w:rsid w:val="007C0F85"/>
    <w:rsid w:val="007C1DE9"/>
    <w:rsid w:val="007C31F1"/>
    <w:rsid w:val="007C3CD4"/>
    <w:rsid w:val="007C7421"/>
    <w:rsid w:val="007D5B72"/>
    <w:rsid w:val="007D6378"/>
    <w:rsid w:val="007D6B83"/>
    <w:rsid w:val="007D7387"/>
    <w:rsid w:val="007E5245"/>
    <w:rsid w:val="007E631E"/>
    <w:rsid w:val="007E784B"/>
    <w:rsid w:val="007F1A21"/>
    <w:rsid w:val="007F1ACC"/>
    <w:rsid w:val="007F349B"/>
    <w:rsid w:val="007F3A54"/>
    <w:rsid w:val="007F505D"/>
    <w:rsid w:val="007F5480"/>
    <w:rsid w:val="007F5A0E"/>
    <w:rsid w:val="007F6A99"/>
    <w:rsid w:val="007F6CA7"/>
    <w:rsid w:val="00801C93"/>
    <w:rsid w:val="00801CBB"/>
    <w:rsid w:val="008021EA"/>
    <w:rsid w:val="00803149"/>
    <w:rsid w:val="00806193"/>
    <w:rsid w:val="00807681"/>
    <w:rsid w:val="00812FC2"/>
    <w:rsid w:val="008140A8"/>
    <w:rsid w:val="00814BF9"/>
    <w:rsid w:val="00814E5D"/>
    <w:rsid w:val="008155AE"/>
    <w:rsid w:val="00815749"/>
    <w:rsid w:val="00816C6B"/>
    <w:rsid w:val="0081733F"/>
    <w:rsid w:val="00817CC8"/>
    <w:rsid w:val="00817E5F"/>
    <w:rsid w:val="0082157F"/>
    <w:rsid w:val="00822360"/>
    <w:rsid w:val="008223B7"/>
    <w:rsid w:val="008237D8"/>
    <w:rsid w:val="00826CAB"/>
    <w:rsid w:val="00834D3E"/>
    <w:rsid w:val="00834E9E"/>
    <w:rsid w:val="00835C98"/>
    <w:rsid w:val="008375D0"/>
    <w:rsid w:val="00841568"/>
    <w:rsid w:val="00847507"/>
    <w:rsid w:val="00847F4B"/>
    <w:rsid w:val="00852731"/>
    <w:rsid w:val="00852A88"/>
    <w:rsid w:val="00854F7E"/>
    <w:rsid w:val="00860016"/>
    <w:rsid w:val="00864123"/>
    <w:rsid w:val="00867ACF"/>
    <w:rsid w:val="00867B8C"/>
    <w:rsid w:val="00875F51"/>
    <w:rsid w:val="008779A2"/>
    <w:rsid w:val="0088032F"/>
    <w:rsid w:val="008805B7"/>
    <w:rsid w:val="00880EBF"/>
    <w:rsid w:val="0088656B"/>
    <w:rsid w:val="008876E8"/>
    <w:rsid w:val="008905C8"/>
    <w:rsid w:val="00892E07"/>
    <w:rsid w:val="00893184"/>
    <w:rsid w:val="008933D4"/>
    <w:rsid w:val="008A154C"/>
    <w:rsid w:val="008A3400"/>
    <w:rsid w:val="008A3D4E"/>
    <w:rsid w:val="008A454A"/>
    <w:rsid w:val="008A6BA5"/>
    <w:rsid w:val="008B0BF3"/>
    <w:rsid w:val="008B16C8"/>
    <w:rsid w:val="008B1CF1"/>
    <w:rsid w:val="008B2FC9"/>
    <w:rsid w:val="008B3172"/>
    <w:rsid w:val="008B3C4D"/>
    <w:rsid w:val="008B62AD"/>
    <w:rsid w:val="008B698F"/>
    <w:rsid w:val="008B7C03"/>
    <w:rsid w:val="008C3DA6"/>
    <w:rsid w:val="008C6266"/>
    <w:rsid w:val="008C747C"/>
    <w:rsid w:val="008D16E5"/>
    <w:rsid w:val="008D17E0"/>
    <w:rsid w:val="008D186F"/>
    <w:rsid w:val="008D1E7A"/>
    <w:rsid w:val="008D235C"/>
    <w:rsid w:val="008D4442"/>
    <w:rsid w:val="008D7156"/>
    <w:rsid w:val="008E390F"/>
    <w:rsid w:val="008E4FB5"/>
    <w:rsid w:val="008E5B7F"/>
    <w:rsid w:val="008E5BBE"/>
    <w:rsid w:val="008E6D81"/>
    <w:rsid w:val="008E7BF2"/>
    <w:rsid w:val="008F041A"/>
    <w:rsid w:val="008F16FA"/>
    <w:rsid w:val="008F3109"/>
    <w:rsid w:val="008F5060"/>
    <w:rsid w:val="008F5D37"/>
    <w:rsid w:val="008F73F8"/>
    <w:rsid w:val="00900A7E"/>
    <w:rsid w:val="009020EF"/>
    <w:rsid w:val="00903131"/>
    <w:rsid w:val="009049D9"/>
    <w:rsid w:val="00905C66"/>
    <w:rsid w:val="0090635B"/>
    <w:rsid w:val="0091200E"/>
    <w:rsid w:val="00913331"/>
    <w:rsid w:val="00913FCC"/>
    <w:rsid w:val="009140DB"/>
    <w:rsid w:val="00920B1D"/>
    <w:rsid w:val="00921622"/>
    <w:rsid w:val="00921FE1"/>
    <w:rsid w:val="00922F2F"/>
    <w:rsid w:val="0092465B"/>
    <w:rsid w:val="00926263"/>
    <w:rsid w:val="0093013C"/>
    <w:rsid w:val="00930888"/>
    <w:rsid w:val="0093134A"/>
    <w:rsid w:val="00932DE5"/>
    <w:rsid w:val="0093339D"/>
    <w:rsid w:val="00934B1C"/>
    <w:rsid w:val="00936229"/>
    <w:rsid w:val="009363C6"/>
    <w:rsid w:val="00943110"/>
    <w:rsid w:val="0094370E"/>
    <w:rsid w:val="0094475F"/>
    <w:rsid w:val="00944A86"/>
    <w:rsid w:val="009460D4"/>
    <w:rsid w:val="00947345"/>
    <w:rsid w:val="00951370"/>
    <w:rsid w:val="009519D2"/>
    <w:rsid w:val="00951EC7"/>
    <w:rsid w:val="009520FD"/>
    <w:rsid w:val="00952993"/>
    <w:rsid w:val="00952B96"/>
    <w:rsid w:val="00952F6F"/>
    <w:rsid w:val="0095333D"/>
    <w:rsid w:val="00957292"/>
    <w:rsid w:val="009574BA"/>
    <w:rsid w:val="00957DF9"/>
    <w:rsid w:val="0096032C"/>
    <w:rsid w:val="00960AD2"/>
    <w:rsid w:val="00961FC7"/>
    <w:rsid w:val="0096217A"/>
    <w:rsid w:val="00962328"/>
    <w:rsid w:val="00962F5A"/>
    <w:rsid w:val="00965DDD"/>
    <w:rsid w:val="009668B9"/>
    <w:rsid w:val="00971900"/>
    <w:rsid w:val="0097407B"/>
    <w:rsid w:val="00975913"/>
    <w:rsid w:val="00976823"/>
    <w:rsid w:val="0097732B"/>
    <w:rsid w:val="0097780D"/>
    <w:rsid w:val="00977E2F"/>
    <w:rsid w:val="00980234"/>
    <w:rsid w:val="009811DA"/>
    <w:rsid w:val="0098449C"/>
    <w:rsid w:val="00985EF1"/>
    <w:rsid w:val="00986577"/>
    <w:rsid w:val="00987219"/>
    <w:rsid w:val="009875B3"/>
    <w:rsid w:val="00987820"/>
    <w:rsid w:val="009878F0"/>
    <w:rsid w:val="009879C0"/>
    <w:rsid w:val="0099003D"/>
    <w:rsid w:val="0099055B"/>
    <w:rsid w:val="009929F8"/>
    <w:rsid w:val="00992F1C"/>
    <w:rsid w:val="00995A56"/>
    <w:rsid w:val="0099603A"/>
    <w:rsid w:val="0099724A"/>
    <w:rsid w:val="00997684"/>
    <w:rsid w:val="009A03D7"/>
    <w:rsid w:val="009A29C1"/>
    <w:rsid w:val="009A3E2E"/>
    <w:rsid w:val="009A4607"/>
    <w:rsid w:val="009A6CDD"/>
    <w:rsid w:val="009A6D38"/>
    <w:rsid w:val="009A70A6"/>
    <w:rsid w:val="009A7B09"/>
    <w:rsid w:val="009B025C"/>
    <w:rsid w:val="009B0384"/>
    <w:rsid w:val="009B087B"/>
    <w:rsid w:val="009B10ED"/>
    <w:rsid w:val="009B11F5"/>
    <w:rsid w:val="009B14CB"/>
    <w:rsid w:val="009B3DF4"/>
    <w:rsid w:val="009B534B"/>
    <w:rsid w:val="009B6621"/>
    <w:rsid w:val="009B6EC7"/>
    <w:rsid w:val="009B750C"/>
    <w:rsid w:val="009C08BB"/>
    <w:rsid w:val="009C139B"/>
    <w:rsid w:val="009C31C0"/>
    <w:rsid w:val="009C3446"/>
    <w:rsid w:val="009C3893"/>
    <w:rsid w:val="009C510B"/>
    <w:rsid w:val="009D1DBE"/>
    <w:rsid w:val="009D2C3F"/>
    <w:rsid w:val="009D4BA1"/>
    <w:rsid w:val="009D4CD4"/>
    <w:rsid w:val="009D7D65"/>
    <w:rsid w:val="009E1333"/>
    <w:rsid w:val="009E21BE"/>
    <w:rsid w:val="009E4E55"/>
    <w:rsid w:val="009E4F0D"/>
    <w:rsid w:val="009E4F27"/>
    <w:rsid w:val="009E5888"/>
    <w:rsid w:val="009E67F0"/>
    <w:rsid w:val="009F0DE7"/>
    <w:rsid w:val="009F1186"/>
    <w:rsid w:val="009F25BA"/>
    <w:rsid w:val="009F36E9"/>
    <w:rsid w:val="009F3DB0"/>
    <w:rsid w:val="009F3EA2"/>
    <w:rsid w:val="009F566D"/>
    <w:rsid w:val="00A01A33"/>
    <w:rsid w:val="00A0302D"/>
    <w:rsid w:val="00A0311F"/>
    <w:rsid w:val="00A0441E"/>
    <w:rsid w:val="00A04434"/>
    <w:rsid w:val="00A04527"/>
    <w:rsid w:val="00A0578D"/>
    <w:rsid w:val="00A06106"/>
    <w:rsid w:val="00A06DB0"/>
    <w:rsid w:val="00A06DCE"/>
    <w:rsid w:val="00A07AE5"/>
    <w:rsid w:val="00A108D6"/>
    <w:rsid w:val="00A10E87"/>
    <w:rsid w:val="00A123DC"/>
    <w:rsid w:val="00A15883"/>
    <w:rsid w:val="00A23962"/>
    <w:rsid w:val="00A24B8C"/>
    <w:rsid w:val="00A261F9"/>
    <w:rsid w:val="00A262E0"/>
    <w:rsid w:val="00A3125D"/>
    <w:rsid w:val="00A31842"/>
    <w:rsid w:val="00A33C79"/>
    <w:rsid w:val="00A34301"/>
    <w:rsid w:val="00A34AE8"/>
    <w:rsid w:val="00A357C5"/>
    <w:rsid w:val="00A36C0C"/>
    <w:rsid w:val="00A37EB0"/>
    <w:rsid w:val="00A37F2B"/>
    <w:rsid w:val="00A40D56"/>
    <w:rsid w:val="00A418BA"/>
    <w:rsid w:val="00A43220"/>
    <w:rsid w:val="00A437F0"/>
    <w:rsid w:val="00A44CF1"/>
    <w:rsid w:val="00A451C4"/>
    <w:rsid w:val="00A46EF6"/>
    <w:rsid w:val="00A5084A"/>
    <w:rsid w:val="00A5385F"/>
    <w:rsid w:val="00A547F2"/>
    <w:rsid w:val="00A563EA"/>
    <w:rsid w:val="00A57B32"/>
    <w:rsid w:val="00A60193"/>
    <w:rsid w:val="00A60DFB"/>
    <w:rsid w:val="00A616CC"/>
    <w:rsid w:val="00A61942"/>
    <w:rsid w:val="00A619F0"/>
    <w:rsid w:val="00A6219F"/>
    <w:rsid w:val="00A62774"/>
    <w:rsid w:val="00A6351A"/>
    <w:rsid w:val="00A63737"/>
    <w:rsid w:val="00A63EA5"/>
    <w:rsid w:val="00A64534"/>
    <w:rsid w:val="00A66037"/>
    <w:rsid w:val="00A668D6"/>
    <w:rsid w:val="00A67F41"/>
    <w:rsid w:val="00A703F0"/>
    <w:rsid w:val="00A71E59"/>
    <w:rsid w:val="00A738F2"/>
    <w:rsid w:val="00A7514D"/>
    <w:rsid w:val="00A771B4"/>
    <w:rsid w:val="00A7720F"/>
    <w:rsid w:val="00A827DC"/>
    <w:rsid w:val="00A83161"/>
    <w:rsid w:val="00A833E0"/>
    <w:rsid w:val="00A84497"/>
    <w:rsid w:val="00A85152"/>
    <w:rsid w:val="00A85B3B"/>
    <w:rsid w:val="00A86B7C"/>
    <w:rsid w:val="00A8733F"/>
    <w:rsid w:val="00A9229F"/>
    <w:rsid w:val="00A94DA3"/>
    <w:rsid w:val="00A97901"/>
    <w:rsid w:val="00AA259E"/>
    <w:rsid w:val="00AA317B"/>
    <w:rsid w:val="00AA3634"/>
    <w:rsid w:val="00AA544F"/>
    <w:rsid w:val="00AA66B8"/>
    <w:rsid w:val="00AA7761"/>
    <w:rsid w:val="00AB14CD"/>
    <w:rsid w:val="00AB2A7D"/>
    <w:rsid w:val="00AB42A3"/>
    <w:rsid w:val="00AB4866"/>
    <w:rsid w:val="00AB5455"/>
    <w:rsid w:val="00AB5A48"/>
    <w:rsid w:val="00AB7D5D"/>
    <w:rsid w:val="00AC067E"/>
    <w:rsid w:val="00AC0971"/>
    <w:rsid w:val="00AC1370"/>
    <w:rsid w:val="00AC4874"/>
    <w:rsid w:val="00AC69A4"/>
    <w:rsid w:val="00AD11C9"/>
    <w:rsid w:val="00AD1464"/>
    <w:rsid w:val="00AD166E"/>
    <w:rsid w:val="00AD4A31"/>
    <w:rsid w:val="00AD7548"/>
    <w:rsid w:val="00AE1C98"/>
    <w:rsid w:val="00AE2045"/>
    <w:rsid w:val="00AE3B9E"/>
    <w:rsid w:val="00AF08F5"/>
    <w:rsid w:val="00AF1ACD"/>
    <w:rsid w:val="00AF3C1D"/>
    <w:rsid w:val="00AF40D8"/>
    <w:rsid w:val="00AF5DBC"/>
    <w:rsid w:val="00AF6CDE"/>
    <w:rsid w:val="00B02F11"/>
    <w:rsid w:val="00B03F51"/>
    <w:rsid w:val="00B06D0C"/>
    <w:rsid w:val="00B118EE"/>
    <w:rsid w:val="00B1227C"/>
    <w:rsid w:val="00B124B6"/>
    <w:rsid w:val="00B12C75"/>
    <w:rsid w:val="00B15A40"/>
    <w:rsid w:val="00B15C1B"/>
    <w:rsid w:val="00B163FC"/>
    <w:rsid w:val="00B2056E"/>
    <w:rsid w:val="00B222FC"/>
    <w:rsid w:val="00B22B33"/>
    <w:rsid w:val="00B27A5C"/>
    <w:rsid w:val="00B307A2"/>
    <w:rsid w:val="00B30CED"/>
    <w:rsid w:val="00B31F67"/>
    <w:rsid w:val="00B35947"/>
    <w:rsid w:val="00B3634E"/>
    <w:rsid w:val="00B40365"/>
    <w:rsid w:val="00B4095F"/>
    <w:rsid w:val="00B41D46"/>
    <w:rsid w:val="00B42785"/>
    <w:rsid w:val="00B42855"/>
    <w:rsid w:val="00B42D9A"/>
    <w:rsid w:val="00B432D0"/>
    <w:rsid w:val="00B44B34"/>
    <w:rsid w:val="00B4517F"/>
    <w:rsid w:val="00B50FBF"/>
    <w:rsid w:val="00B5153F"/>
    <w:rsid w:val="00B519CF"/>
    <w:rsid w:val="00B51EA1"/>
    <w:rsid w:val="00B51FD8"/>
    <w:rsid w:val="00B5226C"/>
    <w:rsid w:val="00B52B72"/>
    <w:rsid w:val="00B52B98"/>
    <w:rsid w:val="00B541D6"/>
    <w:rsid w:val="00B5434C"/>
    <w:rsid w:val="00B5554C"/>
    <w:rsid w:val="00B56960"/>
    <w:rsid w:val="00B6223C"/>
    <w:rsid w:val="00B6248E"/>
    <w:rsid w:val="00B62AB5"/>
    <w:rsid w:val="00B63574"/>
    <w:rsid w:val="00B63EF3"/>
    <w:rsid w:val="00B65257"/>
    <w:rsid w:val="00B65DE8"/>
    <w:rsid w:val="00B660DA"/>
    <w:rsid w:val="00B74EA7"/>
    <w:rsid w:val="00B80929"/>
    <w:rsid w:val="00B80B9C"/>
    <w:rsid w:val="00B82380"/>
    <w:rsid w:val="00B82744"/>
    <w:rsid w:val="00B82D22"/>
    <w:rsid w:val="00B852F6"/>
    <w:rsid w:val="00B85AE9"/>
    <w:rsid w:val="00B87338"/>
    <w:rsid w:val="00B874ED"/>
    <w:rsid w:val="00B87726"/>
    <w:rsid w:val="00B927A5"/>
    <w:rsid w:val="00B95752"/>
    <w:rsid w:val="00BA0639"/>
    <w:rsid w:val="00BA2838"/>
    <w:rsid w:val="00BA3B63"/>
    <w:rsid w:val="00BA4467"/>
    <w:rsid w:val="00BA7287"/>
    <w:rsid w:val="00BA761A"/>
    <w:rsid w:val="00BA7DD4"/>
    <w:rsid w:val="00BB0121"/>
    <w:rsid w:val="00BB0744"/>
    <w:rsid w:val="00BB1196"/>
    <w:rsid w:val="00BB678F"/>
    <w:rsid w:val="00BC1D12"/>
    <w:rsid w:val="00BC2772"/>
    <w:rsid w:val="00BC3D46"/>
    <w:rsid w:val="00BC760E"/>
    <w:rsid w:val="00BD1C7A"/>
    <w:rsid w:val="00BD5D71"/>
    <w:rsid w:val="00BD5F14"/>
    <w:rsid w:val="00BD7137"/>
    <w:rsid w:val="00BE14DA"/>
    <w:rsid w:val="00BE15E4"/>
    <w:rsid w:val="00BE1A9E"/>
    <w:rsid w:val="00BE2C07"/>
    <w:rsid w:val="00BE2F83"/>
    <w:rsid w:val="00BE6352"/>
    <w:rsid w:val="00BE6593"/>
    <w:rsid w:val="00BE7CBE"/>
    <w:rsid w:val="00BF06CD"/>
    <w:rsid w:val="00BF20E8"/>
    <w:rsid w:val="00BF2383"/>
    <w:rsid w:val="00BF2A7A"/>
    <w:rsid w:val="00BF3083"/>
    <w:rsid w:val="00BF4B30"/>
    <w:rsid w:val="00BF55D4"/>
    <w:rsid w:val="00BF6AA3"/>
    <w:rsid w:val="00BF6C7D"/>
    <w:rsid w:val="00BF739F"/>
    <w:rsid w:val="00BF7EF7"/>
    <w:rsid w:val="00C006BB"/>
    <w:rsid w:val="00C00C49"/>
    <w:rsid w:val="00C01450"/>
    <w:rsid w:val="00C01E93"/>
    <w:rsid w:val="00C03AFD"/>
    <w:rsid w:val="00C1068E"/>
    <w:rsid w:val="00C10B68"/>
    <w:rsid w:val="00C10F20"/>
    <w:rsid w:val="00C11890"/>
    <w:rsid w:val="00C13565"/>
    <w:rsid w:val="00C1467C"/>
    <w:rsid w:val="00C14A72"/>
    <w:rsid w:val="00C169CE"/>
    <w:rsid w:val="00C17AD1"/>
    <w:rsid w:val="00C17ECA"/>
    <w:rsid w:val="00C234D1"/>
    <w:rsid w:val="00C24C19"/>
    <w:rsid w:val="00C26C3D"/>
    <w:rsid w:val="00C31174"/>
    <w:rsid w:val="00C3232F"/>
    <w:rsid w:val="00C34A92"/>
    <w:rsid w:val="00C3730C"/>
    <w:rsid w:val="00C42B65"/>
    <w:rsid w:val="00C43DF0"/>
    <w:rsid w:val="00C459B5"/>
    <w:rsid w:val="00C45AEB"/>
    <w:rsid w:val="00C462AB"/>
    <w:rsid w:val="00C46E29"/>
    <w:rsid w:val="00C51206"/>
    <w:rsid w:val="00C53420"/>
    <w:rsid w:val="00C561D6"/>
    <w:rsid w:val="00C60412"/>
    <w:rsid w:val="00C62A6D"/>
    <w:rsid w:val="00C64DC9"/>
    <w:rsid w:val="00C652B2"/>
    <w:rsid w:val="00C6535B"/>
    <w:rsid w:val="00C654F9"/>
    <w:rsid w:val="00C67D1E"/>
    <w:rsid w:val="00C714F5"/>
    <w:rsid w:val="00C715D1"/>
    <w:rsid w:val="00C742B9"/>
    <w:rsid w:val="00C75021"/>
    <w:rsid w:val="00C75A71"/>
    <w:rsid w:val="00C77BFE"/>
    <w:rsid w:val="00C80AA9"/>
    <w:rsid w:val="00C81DFE"/>
    <w:rsid w:val="00C82A4C"/>
    <w:rsid w:val="00C86911"/>
    <w:rsid w:val="00C904FF"/>
    <w:rsid w:val="00C91ADA"/>
    <w:rsid w:val="00C91DFF"/>
    <w:rsid w:val="00C922B5"/>
    <w:rsid w:val="00C925D0"/>
    <w:rsid w:val="00C941F4"/>
    <w:rsid w:val="00C9588E"/>
    <w:rsid w:val="00C9624D"/>
    <w:rsid w:val="00C96D69"/>
    <w:rsid w:val="00CA03AA"/>
    <w:rsid w:val="00CA1A18"/>
    <w:rsid w:val="00CA1F45"/>
    <w:rsid w:val="00CA2BDD"/>
    <w:rsid w:val="00CA2C6C"/>
    <w:rsid w:val="00CA2FA1"/>
    <w:rsid w:val="00CA330D"/>
    <w:rsid w:val="00CA45E2"/>
    <w:rsid w:val="00CA61BF"/>
    <w:rsid w:val="00CB11E6"/>
    <w:rsid w:val="00CB25D2"/>
    <w:rsid w:val="00CB72EB"/>
    <w:rsid w:val="00CC0879"/>
    <w:rsid w:val="00CC1539"/>
    <w:rsid w:val="00CC2936"/>
    <w:rsid w:val="00CC2FD9"/>
    <w:rsid w:val="00CD09C2"/>
    <w:rsid w:val="00CD1163"/>
    <w:rsid w:val="00CD30FF"/>
    <w:rsid w:val="00CD32AD"/>
    <w:rsid w:val="00CD430D"/>
    <w:rsid w:val="00CD666C"/>
    <w:rsid w:val="00CD68FC"/>
    <w:rsid w:val="00CD727D"/>
    <w:rsid w:val="00CE069B"/>
    <w:rsid w:val="00CE11C9"/>
    <w:rsid w:val="00CE126C"/>
    <w:rsid w:val="00CE2BA5"/>
    <w:rsid w:val="00CE5762"/>
    <w:rsid w:val="00CE7E4B"/>
    <w:rsid w:val="00CF0E2E"/>
    <w:rsid w:val="00CF136A"/>
    <w:rsid w:val="00CF2908"/>
    <w:rsid w:val="00CF29BB"/>
    <w:rsid w:val="00CF3ACB"/>
    <w:rsid w:val="00CF3BE4"/>
    <w:rsid w:val="00CF5BDD"/>
    <w:rsid w:val="00CF7D95"/>
    <w:rsid w:val="00D0010B"/>
    <w:rsid w:val="00D0063A"/>
    <w:rsid w:val="00D00A2C"/>
    <w:rsid w:val="00D034AE"/>
    <w:rsid w:val="00D03EF2"/>
    <w:rsid w:val="00D044A1"/>
    <w:rsid w:val="00D04BD7"/>
    <w:rsid w:val="00D05427"/>
    <w:rsid w:val="00D05FC5"/>
    <w:rsid w:val="00D0718A"/>
    <w:rsid w:val="00D10FA0"/>
    <w:rsid w:val="00D119BD"/>
    <w:rsid w:val="00D11B97"/>
    <w:rsid w:val="00D11BA5"/>
    <w:rsid w:val="00D13704"/>
    <w:rsid w:val="00D14C5C"/>
    <w:rsid w:val="00D211EA"/>
    <w:rsid w:val="00D23EBE"/>
    <w:rsid w:val="00D24585"/>
    <w:rsid w:val="00D25487"/>
    <w:rsid w:val="00D262D3"/>
    <w:rsid w:val="00D26C2D"/>
    <w:rsid w:val="00D27F33"/>
    <w:rsid w:val="00D30827"/>
    <w:rsid w:val="00D340A1"/>
    <w:rsid w:val="00D35F62"/>
    <w:rsid w:val="00D37C95"/>
    <w:rsid w:val="00D41057"/>
    <w:rsid w:val="00D4159F"/>
    <w:rsid w:val="00D4465C"/>
    <w:rsid w:val="00D45D68"/>
    <w:rsid w:val="00D4635F"/>
    <w:rsid w:val="00D46DCC"/>
    <w:rsid w:val="00D5025B"/>
    <w:rsid w:val="00D50730"/>
    <w:rsid w:val="00D52063"/>
    <w:rsid w:val="00D523D5"/>
    <w:rsid w:val="00D53940"/>
    <w:rsid w:val="00D55AC4"/>
    <w:rsid w:val="00D5681F"/>
    <w:rsid w:val="00D568BF"/>
    <w:rsid w:val="00D57B2A"/>
    <w:rsid w:val="00D57F9E"/>
    <w:rsid w:val="00D6129C"/>
    <w:rsid w:val="00D612AC"/>
    <w:rsid w:val="00D61C32"/>
    <w:rsid w:val="00D63353"/>
    <w:rsid w:val="00D63F60"/>
    <w:rsid w:val="00D63F9B"/>
    <w:rsid w:val="00D67411"/>
    <w:rsid w:val="00D719E4"/>
    <w:rsid w:val="00D720BA"/>
    <w:rsid w:val="00D73EE2"/>
    <w:rsid w:val="00D757AC"/>
    <w:rsid w:val="00D76E13"/>
    <w:rsid w:val="00D771E7"/>
    <w:rsid w:val="00D77C06"/>
    <w:rsid w:val="00D81D44"/>
    <w:rsid w:val="00D83684"/>
    <w:rsid w:val="00D867AB"/>
    <w:rsid w:val="00D86854"/>
    <w:rsid w:val="00D875D1"/>
    <w:rsid w:val="00D91E76"/>
    <w:rsid w:val="00D91E80"/>
    <w:rsid w:val="00D93321"/>
    <w:rsid w:val="00D94D6F"/>
    <w:rsid w:val="00D95205"/>
    <w:rsid w:val="00D955FE"/>
    <w:rsid w:val="00D96693"/>
    <w:rsid w:val="00D97B1F"/>
    <w:rsid w:val="00DA0955"/>
    <w:rsid w:val="00DA2627"/>
    <w:rsid w:val="00DA3489"/>
    <w:rsid w:val="00DA3E0D"/>
    <w:rsid w:val="00DA546C"/>
    <w:rsid w:val="00DA5A4D"/>
    <w:rsid w:val="00DA5BCC"/>
    <w:rsid w:val="00DA6FA6"/>
    <w:rsid w:val="00DA6FDF"/>
    <w:rsid w:val="00DA788E"/>
    <w:rsid w:val="00DB2ACB"/>
    <w:rsid w:val="00DB3717"/>
    <w:rsid w:val="00DB377B"/>
    <w:rsid w:val="00DB3F8E"/>
    <w:rsid w:val="00DB4093"/>
    <w:rsid w:val="00DB56DE"/>
    <w:rsid w:val="00DB730D"/>
    <w:rsid w:val="00DB7E2D"/>
    <w:rsid w:val="00DC05B0"/>
    <w:rsid w:val="00DC0F28"/>
    <w:rsid w:val="00DC10BD"/>
    <w:rsid w:val="00DC14AA"/>
    <w:rsid w:val="00DC54CA"/>
    <w:rsid w:val="00DC5973"/>
    <w:rsid w:val="00DC6091"/>
    <w:rsid w:val="00DC77C8"/>
    <w:rsid w:val="00DD0DE7"/>
    <w:rsid w:val="00DD1EE3"/>
    <w:rsid w:val="00DD46B4"/>
    <w:rsid w:val="00DD49C5"/>
    <w:rsid w:val="00DD6CED"/>
    <w:rsid w:val="00DD7D7E"/>
    <w:rsid w:val="00DE4A66"/>
    <w:rsid w:val="00DE4C6E"/>
    <w:rsid w:val="00DE5E60"/>
    <w:rsid w:val="00DE6DBD"/>
    <w:rsid w:val="00DE73DD"/>
    <w:rsid w:val="00DF0490"/>
    <w:rsid w:val="00DF06FC"/>
    <w:rsid w:val="00DF0AF7"/>
    <w:rsid w:val="00DF26AA"/>
    <w:rsid w:val="00DF43BD"/>
    <w:rsid w:val="00DF6622"/>
    <w:rsid w:val="00DF6988"/>
    <w:rsid w:val="00E01D42"/>
    <w:rsid w:val="00E04236"/>
    <w:rsid w:val="00E04EB7"/>
    <w:rsid w:val="00E10801"/>
    <w:rsid w:val="00E11A9D"/>
    <w:rsid w:val="00E12C42"/>
    <w:rsid w:val="00E1375C"/>
    <w:rsid w:val="00E145A8"/>
    <w:rsid w:val="00E14C4E"/>
    <w:rsid w:val="00E15270"/>
    <w:rsid w:val="00E16D9A"/>
    <w:rsid w:val="00E170E4"/>
    <w:rsid w:val="00E20F93"/>
    <w:rsid w:val="00E216C5"/>
    <w:rsid w:val="00E21E24"/>
    <w:rsid w:val="00E226AA"/>
    <w:rsid w:val="00E26A4F"/>
    <w:rsid w:val="00E2711E"/>
    <w:rsid w:val="00E27974"/>
    <w:rsid w:val="00E30340"/>
    <w:rsid w:val="00E30C13"/>
    <w:rsid w:val="00E3107F"/>
    <w:rsid w:val="00E31170"/>
    <w:rsid w:val="00E31D7F"/>
    <w:rsid w:val="00E32B85"/>
    <w:rsid w:val="00E33DDE"/>
    <w:rsid w:val="00E34B78"/>
    <w:rsid w:val="00E3647A"/>
    <w:rsid w:val="00E36552"/>
    <w:rsid w:val="00E36676"/>
    <w:rsid w:val="00E40511"/>
    <w:rsid w:val="00E405AB"/>
    <w:rsid w:val="00E40BF0"/>
    <w:rsid w:val="00E44A9F"/>
    <w:rsid w:val="00E5217E"/>
    <w:rsid w:val="00E533AA"/>
    <w:rsid w:val="00E53D17"/>
    <w:rsid w:val="00E5405D"/>
    <w:rsid w:val="00E54CB5"/>
    <w:rsid w:val="00E5706E"/>
    <w:rsid w:val="00E57E82"/>
    <w:rsid w:val="00E60867"/>
    <w:rsid w:val="00E63413"/>
    <w:rsid w:val="00E660A3"/>
    <w:rsid w:val="00E67952"/>
    <w:rsid w:val="00E70242"/>
    <w:rsid w:val="00E70D77"/>
    <w:rsid w:val="00E717A6"/>
    <w:rsid w:val="00E717BE"/>
    <w:rsid w:val="00E7290C"/>
    <w:rsid w:val="00E7326C"/>
    <w:rsid w:val="00E73580"/>
    <w:rsid w:val="00E74076"/>
    <w:rsid w:val="00E749F5"/>
    <w:rsid w:val="00E7715C"/>
    <w:rsid w:val="00E7757C"/>
    <w:rsid w:val="00E77A3F"/>
    <w:rsid w:val="00E809C5"/>
    <w:rsid w:val="00E80EAB"/>
    <w:rsid w:val="00E823E2"/>
    <w:rsid w:val="00E85F06"/>
    <w:rsid w:val="00E861E8"/>
    <w:rsid w:val="00E86E85"/>
    <w:rsid w:val="00E91172"/>
    <w:rsid w:val="00E92E4D"/>
    <w:rsid w:val="00E941C2"/>
    <w:rsid w:val="00EA0402"/>
    <w:rsid w:val="00EA3C8B"/>
    <w:rsid w:val="00EA4108"/>
    <w:rsid w:val="00EA6041"/>
    <w:rsid w:val="00EA7405"/>
    <w:rsid w:val="00EB01C4"/>
    <w:rsid w:val="00EB144D"/>
    <w:rsid w:val="00EB2C93"/>
    <w:rsid w:val="00EB64E5"/>
    <w:rsid w:val="00EB670D"/>
    <w:rsid w:val="00EB6BEB"/>
    <w:rsid w:val="00EB7A04"/>
    <w:rsid w:val="00EB7BB1"/>
    <w:rsid w:val="00EB7E05"/>
    <w:rsid w:val="00EC279E"/>
    <w:rsid w:val="00EC3354"/>
    <w:rsid w:val="00EC413B"/>
    <w:rsid w:val="00ED011E"/>
    <w:rsid w:val="00ED101E"/>
    <w:rsid w:val="00ED27E2"/>
    <w:rsid w:val="00ED5974"/>
    <w:rsid w:val="00ED5983"/>
    <w:rsid w:val="00ED6DD0"/>
    <w:rsid w:val="00ED798A"/>
    <w:rsid w:val="00EE0E4C"/>
    <w:rsid w:val="00EE1D4B"/>
    <w:rsid w:val="00EE68E4"/>
    <w:rsid w:val="00EE750C"/>
    <w:rsid w:val="00EF1068"/>
    <w:rsid w:val="00EF1471"/>
    <w:rsid w:val="00EF247F"/>
    <w:rsid w:val="00EF267A"/>
    <w:rsid w:val="00EF3092"/>
    <w:rsid w:val="00EF4409"/>
    <w:rsid w:val="00EF6038"/>
    <w:rsid w:val="00EF68AD"/>
    <w:rsid w:val="00F005FF"/>
    <w:rsid w:val="00F01299"/>
    <w:rsid w:val="00F016A1"/>
    <w:rsid w:val="00F020AF"/>
    <w:rsid w:val="00F0333E"/>
    <w:rsid w:val="00F03537"/>
    <w:rsid w:val="00F03BEA"/>
    <w:rsid w:val="00F065C8"/>
    <w:rsid w:val="00F06C31"/>
    <w:rsid w:val="00F12B18"/>
    <w:rsid w:val="00F130B1"/>
    <w:rsid w:val="00F13AAB"/>
    <w:rsid w:val="00F147C2"/>
    <w:rsid w:val="00F148BC"/>
    <w:rsid w:val="00F14F2D"/>
    <w:rsid w:val="00F1753B"/>
    <w:rsid w:val="00F176FD"/>
    <w:rsid w:val="00F2394B"/>
    <w:rsid w:val="00F24001"/>
    <w:rsid w:val="00F2486A"/>
    <w:rsid w:val="00F249FB"/>
    <w:rsid w:val="00F25D1A"/>
    <w:rsid w:val="00F268FF"/>
    <w:rsid w:val="00F33318"/>
    <w:rsid w:val="00F33738"/>
    <w:rsid w:val="00F37B69"/>
    <w:rsid w:val="00F42262"/>
    <w:rsid w:val="00F45D59"/>
    <w:rsid w:val="00F474BF"/>
    <w:rsid w:val="00F50CB7"/>
    <w:rsid w:val="00F51277"/>
    <w:rsid w:val="00F54283"/>
    <w:rsid w:val="00F55E60"/>
    <w:rsid w:val="00F561A4"/>
    <w:rsid w:val="00F57491"/>
    <w:rsid w:val="00F57B12"/>
    <w:rsid w:val="00F60350"/>
    <w:rsid w:val="00F6282C"/>
    <w:rsid w:val="00F62A43"/>
    <w:rsid w:val="00F63D81"/>
    <w:rsid w:val="00F63E54"/>
    <w:rsid w:val="00F65DCF"/>
    <w:rsid w:val="00F66403"/>
    <w:rsid w:val="00F6664C"/>
    <w:rsid w:val="00F666B3"/>
    <w:rsid w:val="00F66CDF"/>
    <w:rsid w:val="00F67B9D"/>
    <w:rsid w:val="00F7312A"/>
    <w:rsid w:val="00F74170"/>
    <w:rsid w:val="00F75E9C"/>
    <w:rsid w:val="00F76C88"/>
    <w:rsid w:val="00F77A87"/>
    <w:rsid w:val="00F812AA"/>
    <w:rsid w:val="00F85093"/>
    <w:rsid w:val="00F85238"/>
    <w:rsid w:val="00F85948"/>
    <w:rsid w:val="00F864F4"/>
    <w:rsid w:val="00F90998"/>
    <w:rsid w:val="00F90E12"/>
    <w:rsid w:val="00F91283"/>
    <w:rsid w:val="00F94061"/>
    <w:rsid w:val="00F946F5"/>
    <w:rsid w:val="00F95300"/>
    <w:rsid w:val="00F95D2B"/>
    <w:rsid w:val="00F96A60"/>
    <w:rsid w:val="00FA0015"/>
    <w:rsid w:val="00FA1087"/>
    <w:rsid w:val="00FA440C"/>
    <w:rsid w:val="00FA5AD7"/>
    <w:rsid w:val="00FA6CF2"/>
    <w:rsid w:val="00FA71B3"/>
    <w:rsid w:val="00FA71DD"/>
    <w:rsid w:val="00FA7650"/>
    <w:rsid w:val="00FA7B5E"/>
    <w:rsid w:val="00FB0F6E"/>
    <w:rsid w:val="00FB3108"/>
    <w:rsid w:val="00FB7679"/>
    <w:rsid w:val="00FB77CE"/>
    <w:rsid w:val="00FC4BF9"/>
    <w:rsid w:val="00FD02A0"/>
    <w:rsid w:val="00FD0667"/>
    <w:rsid w:val="00FD0AA8"/>
    <w:rsid w:val="00FD0DC2"/>
    <w:rsid w:val="00FE057A"/>
    <w:rsid w:val="00FE4A2B"/>
    <w:rsid w:val="00FE5D50"/>
    <w:rsid w:val="00FE6BC0"/>
    <w:rsid w:val="00FF152F"/>
    <w:rsid w:val="00FF1594"/>
    <w:rsid w:val="00FF2C0F"/>
    <w:rsid w:val="00FF4DD8"/>
    <w:rsid w:val="00FF5178"/>
    <w:rsid w:val="00FF6F7E"/>
    <w:rsid w:val="00FF7097"/>
    <w:rsid w:val="00FF78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shapelayout>
  </w:shapeDefaults>
  <w:decimalSymbol w:val="."/>
  <w:listSeparator w:val=","/>
  <w14:docId w14:val="447BCF7E"/>
  <w14:defaultImageDpi w14:val="300"/>
  <w15:docId w15:val="{BB223356-8B3F-43F0-AECE-A597C73DE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0D8"/>
    <w:pPr>
      <w:spacing w:before="120"/>
    </w:pPr>
    <w:rPr>
      <w:rFonts w:ascii="Arial" w:hAnsi="Arial" w:cs="Arial"/>
      <w:sz w:val="22"/>
      <w:szCs w:val="20"/>
    </w:rPr>
  </w:style>
  <w:style w:type="paragraph" w:styleId="Heading1">
    <w:name w:val="heading 1"/>
    <w:basedOn w:val="Normal"/>
    <w:next w:val="Normal"/>
    <w:link w:val="Heading1Char"/>
    <w:uiPriority w:val="9"/>
    <w:qFormat/>
    <w:rsid w:val="00DC5973"/>
    <w:pPr>
      <w:keepNext/>
      <w:keepLines/>
      <w:suppressAutoHyphens/>
      <w:spacing w:after="12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6720A0"/>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720A0"/>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6720A0"/>
    <w:rPr>
      <w:rFonts w:ascii="Arial" w:eastAsiaTheme="majorEastAsia" w:hAnsi="Arial" w:cstheme="majorBidi"/>
      <w:b/>
      <w:bCs/>
      <w:color w:val="E36C0A" w:themeColor="accent6" w:themeShade="BF"/>
    </w:rPr>
  </w:style>
  <w:style w:type="paragraph" w:styleId="TOC1">
    <w:name w:val="toc 1"/>
    <w:basedOn w:val="Normal"/>
    <w:next w:val="Normal"/>
    <w:autoRedefine/>
    <w:uiPriority w:val="39"/>
    <w:unhideWhenUsed/>
    <w:rsid w:val="002D294A"/>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val="en-AU"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val="en-AU"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qFormat/>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943E5"/>
    <w:pPr>
      <w:keepLines/>
      <w:numPr>
        <w:numId w:val="2"/>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left="784" w:right="515"/>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val="en-AU"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3"/>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next w:val="Boxtext"/>
    <w:qFormat/>
    <w:rsid w:val="003A7FD0"/>
    <w:rPr>
      <w:b/>
    </w:rPr>
  </w:style>
  <w:style w:type="character" w:styleId="FootnoteReference">
    <w:name w:val="footnote reference"/>
    <w:basedOn w:val="DefaultParagraphFont"/>
    <w:uiPriority w:val="99"/>
    <w:unhideWhenUsed/>
    <w:rsid w:val="00277267"/>
    <w:rPr>
      <w:vertAlign w:val="superscript"/>
    </w:rPr>
  </w:style>
  <w:style w:type="character" w:styleId="CommentReference">
    <w:name w:val="annotation reference"/>
    <w:basedOn w:val="DefaultParagraphFont"/>
    <w:uiPriority w:val="99"/>
    <w:semiHidden/>
    <w:unhideWhenUsed/>
    <w:rsid w:val="0021268B"/>
    <w:rPr>
      <w:sz w:val="16"/>
      <w:szCs w:val="16"/>
    </w:rPr>
  </w:style>
  <w:style w:type="paragraph" w:styleId="CommentText">
    <w:name w:val="annotation text"/>
    <w:basedOn w:val="Normal"/>
    <w:link w:val="CommentTextChar"/>
    <w:uiPriority w:val="99"/>
    <w:semiHidden/>
    <w:unhideWhenUsed/>
    <w:rsid w:val="0021268B"/>
    <w:pPr>
      <w:spacing w:line="240" w:lineRule="auto"/>
    </w:pPr>
    <w:rPr>
      <w:sz w:val="20"/>
    </w:rPr>
  </w:style>
  <w:style w:type="character" w:customStyle="1" w:styleId="CommentTextChar">
    <w:name w:val="Comment Text Char"/>
    <w:basedOn w:val="DefaultParagraphFont"/>
    <w:link w:val="CommentText"/>
    <w:uiPriority w:val="99"/>
    <w:semiHidden/>
    <w:rsid w:val="0021268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1268B"/>
    <w:rPr>
      <w:b/>
      <w:bCs/>
    </w:rPr>
  </w:style>
  <w:style w:type="character" w:customStyle="1" w:styleId="CommentSubjectChar">
    <w:name w:val="Comment Subject Char"/>
    <w:basedOn w:val="CommentTextChar"/>
    <w:link w:val="CommentSubject"/>
    <w:uiPriority w:val="99"/>
    <w:semiHidden/>
    <w:rsid w:val="0021268B"/>
    <w:rPr>
      <w:rFonts w:ascii="Arial" w:hAnsi="Arial" w:cs="Arial"/>
      <w:b/>
      <w:bCs/>
      <w:sz w:val="20"/>
      <w:szCs w:val="20"/>
    </w:rPr>
  </w:style>
  <w:style w:type="paragraph" w:styleId="Revision">
    <w:name w:val="Revision"/>
    <w:hidden/>
    <w:uiPriority w:val="99"/>
    <w:semiHidden/>
    <w:rsid w:val="00FA440C"/>
    <w:pPr>
      <w:spacing w:before="0" w:after="0" w:line="240" w:lineRule="auto"/>
    </w:pPr>
    <w:rPr>
      <w:rFonts w:ascii="Arial" w:hAnsi="Arial" w:cs="Arial"/>
      <w:sz w:val="22"/>
      <w:szCs w:val="20"/>
    </w:rPr>
  </w:style>
  <w:style w:type="paragraph" w:customStyle="1" w:styleId="Default">
    <w:name w:val="Default"/>
    <w:rsid w:val="0056717B"/>
    <w:pPr>
      <w:autoSpaceDE w:val="0"/>
      <w:autoSpaceDN w:val="0"/>
      <w:adjustRightInd w:val="0"/>
      <w:spacing w:before="0" w:after="0" w:line="240" w:lineRule="auto"/>
    </w:pPr>
    <w:rPr>
      <w:rFonts w:ascii="Arial" w:hAnsi="Arial" w:cs="Arial"/>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09831">
      <w:bodyDiv w:val="1"/>
      <w:marLeft w:val="0"/>
      <w:marRight w:val="0"/>
      <w:marTop w:val="0"/>
      <w:marBottom w:val="0"/>
      <w:divBdr>
        <w:top w:val="none" w:sz="0" w:space="0" w:color="auto"/>
        <w:left w:val="none" w:sz="0" w:space="0" w:color="auto"/>
        <w:bottom w:val="none" w:sz="0" w:space="0" w:color="auto"/>
        <w:right w:val="none" w:sz="0" w:space="0" w:color="auto"/>
      </w:divBdr>
      <w:divsChild>
        <w:div w:id="193228207">
          <w:marLeft w:val="0"/>
          <w:marRight w:val="0"/>
          <w:marTop w:val="0"/>
          <w:marBottom w:val="0"/>
          <w:divBdr>
            <w:top w:val="none" w:sz="0" w:space="0" w:color="auto"/>
            <w:left w:val="none" w:sz="0" w:space="0" w:color="auto"/>
            <w:bottom w:val="none" w:sz="0" w:space="0" w:color="auto"/>
            <w:right w:val="none" w:sz="0" w:space="0" w:color="auto"/>
          </w:divBdr>
        </w:div>
        <w:div w:id="19626073">
          <w:marLeft w:val="0"/>
          <w:marRight w:val="0"/>
          <w:marTop w:val="0"/>
          <w:marBottom w:val="0"/>
          <w:divBdr>
            <w:top w:val="none" w:sz="0" w:space="0" w:color="auto"/>
            <w:left w:val="none" w:sz="0" w:space="0" w:color="auto"/>
            <w:bottom w:val="none" w:sz="0" w:space="0" w:color="auto"/>
            <w:right w:val="none" w:sz="0" w:space="0" w:color="auto"/>
          </w:divBdr>
        </w:div>
        <w:div w:id="349377069">
          <w:marLeft w:val="0"/>
          <w:marRight w:val="0"/>
          <w:marTop w:val="0"/>
          <w:marBottom w:val="0"/>
          <w:divBdr>
            <w:top w:val="none" w:sz="0" w:space="0" w:color="auto"/>
            <w:left w:val="none" w:sz="0" w:space="0" w:color="auto"/>
            <w:bottom w:val="none" w:sz="0" w:space="0" w:color="auto"/>
            <w:right w:val="none" w:sz="0" w:space="0" w:color="auto"/>
          </w:divBdr>
        </w:div>
        <w:div w:id="1617101606">
          <w:marLeft w:val="0"/>
          <w:marRight w:val="0"/>
          <w:marTop w:val="0"/>
          <w:marBottom w:val="0"/>
          <w:divBdr>
            <w:top w:val="none" w:sz="0" w:space="0" w:color="auto"/>
            <w:left w:val="none" w:sz="0" w:space="0" w:color="auto"/>
            <w:bottom w:val="none" w:sz="0" w:space="0" w:color="auto"/>
            <w:right w:val="none" w:sz="0" w:space="0" w:color="auto"/>
          </w:divBdr>
        </w:div>
        <w:div w:id="1176380864">
          <w:marLeft w:val="0"/>
          <w:marRight w:val="0"/>
          <w:marTop w:val="0"/>
          <w:marBottom w:val="0"/>
          <w:divBdr>
            <w:top w:val="none" w:sz="0" w:space="0" w:color="auto"/>
            <w:left w:val="none" w:sz="0" w:space="0" w:color="auto"/>
            <w:bottom w:val="none" w:sz="0" w:space="0" w:color="auto"/>
            <w:right w:val="none" w:sz="0" w:space="0" w:color="auto"/>
          </w:divBdr>
        </w:div>
        <w:div w:id="1468544810">
          <w:marLeft w:val="0"/>
          <w:marRight w:val="0"/>
          <w:marTop w:val="0"/>
          <w:marBottom w:val="0"/>
          <w:divBdr>
            <w:top w:val="none" w:sz="0" w:space="0" w:color="auto"/>
            <w:left w:val="none" w:sz="0" w:space="0" w:color="auto"/>
            <w:bottom w:val="none" w:sz="0" w:space="0" w:color="auto"/>
            <w:right w:val="none" w:sz="0" w:space="0" w:color="auto"/>
          </w:divBdr>
        </w:div>
        <w:div w:id="1890720235">
          <w:marLeft w:val="0"/>
          <w:marRight w:val="0"/>
          <w:marTop w:val="0"/>
          <w:marBottom w:val="0"/>
          <w:divBdr>
            <w:top w:val="none" w:sz="0" w:space="0" w:color="auto"/>
            <w:left w:val="none" w:sz="0" w:space="0" w:color="auto"/>
            <w:bottom w:val="none" w:sz="0" w:space="0" w:color="auto"/>
            <w:right w:val="none" w:sz="0" w:space="0" w:color="auto"/>
          </w:divBdr>
        </w:div>
        <w:div w:id="1335113013">
          <w:marLeft w:val="0"/>
          <w:marRight w:val="0"/>
          <w:marTop w:val="0"/>
          <w:marBottom w:val="0"/>
          <w:divBdr>
            <w:top w:val="none" w:sz="0" w:space="0" w:color="auto"/>
            <w:left w:val="none" w:sz="0" w:space="0" w:color="auto"/>
            <w:bottom w:val="none" w:sz="0" w:space="0" w:color="auto"/>
            <w:right w:val="none" w:sz="0" w:space="0" w:color="auto"/>
          </w:divBdr>
        </w:div>
        <w:div w:id="1300920330">
          <w:marLeft w:val="0"/>
          <w:marRight w:val="0"/>
          <w:marTop w:val="0"/>
          <w:marBottom w:val="0"/>
          <w:divBdr>
            <w:top w:val="none" w:sz="0" w:space="0" w:color="auto"/>
            <w:left w:val="none" w:sz="0" w:space="0" w:color="auto"/>
            <w:bottom w:val="none" w:sz="0" w:space="0" w:color="auto"/>
            <w:right w:val="none" w:sz="0" w:space="0" w:color="auto"/>
          </w:divBdr>
        </w:div>
        <w:div w:id="1416701918">
          <w:marLeft w:val="0"/>
          <w:marRight w:val="0"/>
          <w:marTop w:val="0"/>
          <w:marBottom w:val="0"/>
          <w:divBdr>
            <w:top w:val="none" w:sz="0" w:space="0" w:color="auto"/>
            <w:left w:val="none" w:sz="0" w:space="0" w:color="auto"/>
            <w:bottom w:val="none" w:sz="0" w:space="0" w:color="auto"/>
            <w:right w:val="none" w:sz="0" w:space="0" w:color="auto"/>
          </w:divBdr>
        </w:div>
        <w:div w:id="1942374072">
          <w:marLeft w:val="0"/>
          <w:marRight w:val="0"/>
          <w:marTop w:val="0"/>
          <w:marBottom w:val="0"/>
          <w:divBdr>
            <w:top w:val="none" w:sz="0" w:space="0" w:color="auto"/>
            <w:left w:val="none" w:sz="0" w:space="0" w:color="auto"/>
            <w:bottom w:val="none" w:sz="0" w:space="0" w:color="auto"/>
            <w:right w:val="none" w:sz="0" w:space="0" w:color="auto"/>
          </w:divBdr>
        </w:div>
        <w:div w:id="501239801">
          <w:marLeft w:val="0"/>
          <w:marRight w:val="0"/>
          <w:marTop w:val="0"/>
          <w:marBottom w:val="0"/>
          <w:divBdr>
            <w:top w:val="none" w:sz="0" w:space="0" w:color="auto"/>
            <w:left w:val="none" w:sz="0" w:space="0" w:color="auto"/>
            <w:bottom w:val="none" w:sz="0" w:space="0" w:color="auto"/>
            <w:right w:val="none" w:sz="0" w:space="0" w:color="auto"/>
          </w:divBdr>
        </w:div>
        <w:div w:id="569003592">
          <w:marLeft w:val="0"/>
          <w:marRight w:val="0"/>
          <w:marTop w:val="0"/>
          <w:marBottom w:val="0"/>
          <w:divBdr>
            <w:top w:val="none" w:sz="0" w:space="0" w:color="auto"/>
            <w:left w:val="none" w:sz="0" w:space="0" w:color="auto"/>
            <w:bottom w:val="none" w:sz="0" w:space="0" w:color="auto"/>
            <w:right w:val="none" w:sz="0" w:space="0" w:color="auto"/>
          </w:divBdr>
        </w:div>
        <w:div w:id="1231576993">
          <w:marLeft w:val="0"/>
          <w:marRight w:val="0"/>
          <w:marTop w:val="0"/>
          <w:marBottom w:val="0"/>
          <w:divBdr>
            <w:top w:val="none" w:sz="0" w:space="0" w:color="auto"/>
            <w:left w:val="none" w:sz="0" w:space="0" w:color="auto"/>
            <w:bottom w:val="none" w:sz="0" w:space="0" w:color="auto"/>
            <w:right w:val="none" w:sz="0" w:space="0" w:color="auto"/>
          </w:divBdr>
        </w:div>
        <w:div w:id="1042368273">
          <w:marLeft w:val="0"/>
          <w:marRight w:val="0"/>
          <w:marTop w:val="0"/>
          <w:marBottom w:val="0"/>
          <w:divBdr>
            <w:top w:val="none" w:sz="0" w:space="0" w:color="auto"/>
            <w:left w:val="none" w:sz="0" w:space="0" w:color="auto"/>
            <w:bottom w:val="none" w:sz="0" w:space="0" w:color="auto"/>
            <w:right w:val="none" w:sz="0" w:space="0" w:color="auto"/>
          </w:divBdr>
        </w:div>
      </w:divsChild>
    </w:div>
    <w:div w:id="11620900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vcoss-dc1\Shared\External%20Relations\Government\Submissions\Submissions%20templates\TEM_150518_Submissions%20Template%20Accessible-sml.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ay:Dropbox:CURRENT%20Alviss%20Projects:Tariff-Tracking%20July%202016:NEM%20Paper:ANALYSIS%20Latest%20All%20states%20Offers%20month%20by%20mont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Interstate!$A$111</c:f>
              <c:strCache>
                <c:ptCount val="1"/>
                <c:pt idx="0">
                  <c:v>Annual retail proportion (over 2 years)</c:v>
                </c:pt>
              </c:strCache>
            </c:strRef>
          </c:tx>
          <c:invertIfNegative val="0"/>
          <c:cat>
            <c:strRef>
              <c:f>Interstate!$B$110:$E$110</c:f>
              <c:strCache>
                <c:ptCount val="4"/>
                <c:pt idx="0">
                  <c:v>QLD</c:v>
                </c:pt>
                <c:pt idx="1">
                  <c:v>SA</c:v>
                </c:pt>
                <c:pt idx="2">
                  <c:v>NSW</c:v>
                </c:pt>
                <c:pt idx="3">
                  <c:v>VIC</c:v>
                </c:pt>
              </c:strCache>
            </c:strRef>
          </c:cat>
          <c:val>
            <c:numRef>
              <c:f>Interstate!$B$111:$E$111</c:f>
              <c:numCache>
                <c:formatCode>0</c:formatCode>
                <c:ptCount val="4"/>
                <c:pt idx="0">
                  <c:v>202.5</c:v>
                </c:pt>
                <c:pt idx="1">
                  <c:v>514.5</c:v>
                </c:pt>
                <c:pt idx="2">
                  <c:v>337.5</c:v>
                </c:pt>
                <c:pt idx="3">
                  <c:v>690.5</c:v>
                </c:pt>
              </c:numCache>
            </c:numRef>
          </c:val>
        </c:ser>
        <c:dLbls>
          <c:showLegendKey val="0"/>
          <c:showVal val="0"/>
          <c:showCatName val="0"/>
          <c:showSerName val="0"/>
          <c:showPercent val="0"/>
          <c:showBubbleSize val="0"/>
        </c:dLbls>
        <c:gapWidth val="150"/>
        <c:axId val="152810088"/>
        <c:axId val="152814568"/>
      </c:barChart>
      <c:catAx>
        <c:axId val="152810088"/>
        <c:scaling>
          <c:orientation val="minMax"/>
        </c:scaling>
        <c:delete val="0"/>
        <c:axPos val="b"/>
        <c:numFmt formatCode="General" sourceLinked="0"/>
        <c:majorTickMark val="out"/>
        <c:minorTickMark val="none"/>
        <c:tickLblPos val="nextTo"/>
        <c:crossAx val="152814568"/>
        <c:crosses val="autoZero"/>
        <c:auto val="1"/>
        <c:lblAlgn val="ctr"/>
        <c:lblOffset val="100"/>
        <c:noMultiLvlLbl val="0"/>
      </c:catAx>
      <c:valAx>
        <c:axId val="152814568"/>
        <c:scaling>
          <c:orientation val="minMax"/>
        </c:scaling>
        <c:delete val="0"/>
        <c:axPos val="l"/>
        <c:majorGridlines/>
        <c:numFmt formatCode="0" sourceLinked="1"/>
        <c:majorTickMark val="out"/>
        <c:minorTickMark val="none"/>
        <c:tickLblPos val="nextTo"/>
        <c:crossAx val="152810088"/>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95B54-19DD-4773-8A49-D3425E49A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TEM_150518_Submissions Template Accessible-sml</Template>
  <TotalTime>2</TotalTime>
  <Pages>26</Pages>
  <Words>6990</Words>
  <Characters>39844</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O'Neill</dc:creator>
  <cp:lastModifiedBy>Llewellyn Reynders</cp:lastModifiedBy>
  <cp:revision>3</cp:revision>
  <cp:lastPrinted>2017-07-07T06:11:00Z</cp:lastPrinted>
  <dcterms:created xsi:type="dcterms:W3CDTF">2017-07-07T06:11:00Z</dcterms:created>
  <dcterms:modified xsi:type="dcterms:W3CDTF">2017-07-07T06:12:00Z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