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770" w:rsidRDefault="00BA3770" w:rsidP="00BA3770">
      <w:pPr>
        <w:pStyle w:val="Heading3"/>
        <w:jc w:val="center"/>
        <w:rPr>
          <w:color w:val="000000" w:themeColor="text1"/>
          <w:sz w:val="34"/>
          <w:szCs w:val="40"/>
        </w:rPr>
      </w:pPr>
      <w:r>
        <w:rPr>
          <w:sz w:val="40"/>
          <w:szCs w:val="40"/>
        </w:rPr>
        <w:br/>
      </w:r>
    </w:p>
    <w:p w:rsidR="00E911BC" w:rsidRPr="00BA3770" w:rsidRDefault="003A6D49" w:rsidP="00BA3770">
      <w:pPr>
        <w:pStyle w:val="Heading3"/>
        <w:jc w:val="center"/>
        <w:rPr>
          <w:sz w:val="34"/>
          <w:szCs w:val="40"/>
        </w:rPr>
      </w:pPr>
      <w:r w:rsidRPr="00BA3770">
        <w:rPr>
          <w:color w:val="000000" w:themeColor="text1"/>
          <w:sz w:val="34"/>
          <w:szCs w:val="40"/>
        </w:rPr>
        <w:t>Review of the Australian Charities and Not-for-</w:t>
      </w:r>
      <w:r w:rsidRPr="00BA3770">
        <w:rPr>
          <w:color w:val="000000" w:themeColor="text1"/>
          <w:sz w:val="32"/>
          <w:szCs w:val="40"/>
        </w:rPr>
        <w:t>profits Commission (ACNC) legislation</w:t>
      </w:r>
    </w:p>
    <w:p w:rsidR="003A6D49" w:rsidRPr="00BA3770" w:rsidRDefault="003A6D49" w:rsidP="00BA3770">
      <w:pPr>
        <w:jc w:val="center"/>
        <w:rPr>
          <w:color w:val="000000" w:themeColor="text1"/>
        </w:rPr>
      </w:pPr>
    </w:p>
    <w:p w:rsidR="003A6D49" w:rsidRPr="00BA3770" w:rsidRDefault="003A6D49" w:rsidP="00BA3770">
      <w:pPr>
        <w:pStyle w:val="Heading3"/>
        <w:jc w:val="center"/>
        <w:rPr>
          <w:color w:val="000000" w:themeColor="text1"/>
          <w:sz w:val="28"/>
          <w:szCs w:val="28"/>
        </w:rPr>
      </w:pPr>
      <w:r w:rsidRPr="00BA3770">
        <w:rPr>
          <w:color w:val="000000" w:themeColor="text1"/>
          <w:sz w:val="28"/>
          <w:szCs w:val="28"/>
        </w:rPr>
        <w:t>Joint Submission – Councils of Social Service (COSS) Network</w:t>
      </w:r>
    </w:p>
    <w:p w:rsidR="003A6D49" w:rsidRPr="003A6D49" w:rsidRDefault="00BA3770" w:rsidP="003A6D49">
      <w:r>
        <w:br/>
      </w:r>
    </w:p>
    <w:p w:rsidR="00426263" w:rsidRPr="00E34957" w:rsidRDefault="00D10346" w:rsidP="00174BFF">
      <w:pPr>
        <w:pStyle w:val="Heading3"/>
      </w:pPr>
      <w:r w:rsidRPr="00E34957">
        <w:t xml:space="preserve">About </w:t>
      </w:r>
      <w:r w:rsidR="00174BFF">
        <w:t>the Councils of Social Service</w:t>
      </w:r>
    </w:p>
    <w:p w:rsidR="00174BFF" w:rsidRPr="003E06FA" w:rsidRDefault="00174BFF" w:rsidP="00174BFF">
      <w:pPr>
        <w:rPr>
          <w:sz w:val="24"/>
        </w:rPr>
      </w:pPr>
      <w:r w:rsidRPr="003E06FA">
        <w:rPr>
          <w:sz w:val="24"/>
        </w:rPr>
        <w:t>The nine Councils of Social Service (</w:t>
      </w:r>
      <w:proofErr w:type="spellStart"/>
      <w:r w:rsidRPr="003E06FA">
        <w:rPr>
          <w:sz w:val="24"/>
        </w:rPr>
        <w:t>COSSes</w:t>
      </w:r>
      <w:proofErr w:type="spellEnd"/>
      <w:r w:rsidRPr="003E06FA">
        <w:rPr>
          <w:sz w:val="24"/>
        </w:rPr>
        <w:t xml:space="preserve">) are the respective National, </w:t>
      </w:r>
      <w:r w:rsidR="00C52503">
        <w:rPr>
          <w:sz w:val="24"/>
        </w:rPr>
        <w:t xml:space="preserve">and </w:t>
      </w:r>
      <w:r w:rsidRPr="003E06FA">
        <w:rPr>
          <w:sz w:val="24"/>
        </w:rPr>
        <w:t xml:space="preserve">State and Territory peak bodies of the community services sector and a voice for the needs of people affected by poverty and inequality. </w:t>
      </w:r>
    </w:p>
    <w:p w:rsidR="00174BFF" w:rsidRPr="003E06FA" w:rsidRDefault="00174BFF" w:rsidP="00174BFF">
      <w:pPr>
        <w:rPr>
          <w:sz w:val="24"/>
        </w:rPr>
      </w:pPr>
      <w:r w:rsidRPr="003E06FA">
        <w:rPr>
          <w:sz w:val="24"/>
        </w:rPr>
        <w:t xml:space="preserve">The Councils are: </w:t>
      </w:r>
    </w:p>
    <w:p w:rsidR="00174BFF" w:rsidRPr="003E06FA" w:rsidRDefault="00174BFF" w:rsidP="00174BFF">
      <w:pPr>
        <w:pStyle w:val="ListParagraph"/>
        <w:numPr>
          <w:ilvl w:val="0"/>
          <w:numId w:val="37"/>
        </w:numPr>
        <w:rPr>
          <w:sz w:val="24"/>
        </w:rPr>
      </w:pPr>
      <w:r w:rsidRPr="003E06FA">
        <w:rPr>
          <w:sz w:val="24"/>
        </w:rPr>
        <w:t xml:space="preserve">The Australian Council of Social Service (ACOSS) </w:t>
      </w:r>
    </w:p>
    <w:p w:rsidR="00174BFF" w:rsidRPr="003E06FA" w:rsidRDefault="00174BFF" w:rsidP="00174BFF">
      <w:pPr>
        <w:pStyle w:val="ListParagraph"/>
        <w:numPr>
          <w:ilvl w:val="0"/>
          <w:numId w:val="37"/>
        </w:numPr>
        <w:rPr>
          <w:sz w:val="24"/>
        </w:rPr>
      </w:pPr>
      <w:r w:rsidRPr="003E06FA">
        <w:rPr>
          <w:sz w:val="24"/>
        </w:rPr>
        <w:t xml:space="preserve">The Australian Capital Territory Council of Social Service (ACTCOSS) </w:t>
      </w:r>
    </w:p>
    <w:p w:rsidR="00174BFF" w:rsidRPr="003E06FA" w:rsidRDefault="00174BFF" w:rsidP="00174BFF">
      <w:pPr>
        <w:pStyle w:val="ListParagraph"/>
        <w:numPr>
          <w:ilvl w:val="0"/>
          <w:numId w:val="37"/>
        </w:numPr>
        <w:rPr>
          <w:sz w:val="24"/>
        </w:rPr>
      </w:pPr>
      <w:r w:rsidRPr="003E06FA">
        <w:rPr>
          <w:sz w:val="24"/>
        </w:rPr>
        <w:t xml:space="preserve">The Council of Social Service of New South Wales (NCOSS) </w:t>
      </w:r>
    </w:p>
    <w:p w:rsidR="00174BFF" w:rsidRPr="003E06FA" w:rsidRDefault="00174BFF" w:rsidP="00174BFF">
      <w:pPr>
        <w:pStyle w:val="ListParagraph"/>
        <w:numPr>
          <w:ilvl w:val="0"/>
          <w:numId w:val="37"/>
        </w:numPr>
        <w:rPr>
          <w:sz w:val="24"/>
        </w:rPr>
      </w:pPr>
      <w:r w:rsidRPr="003E06FA">
        <w:rPr>
          <w:sz w:val="24"/>
        </w:rPr>
        <w:t xml:space="preserve">The Northern Territory Council of Social Service (NTCOSS) </w:t>
      </w:r>
    </w:p>
    <w:p w:rsidR="00174BFF" w:rsidRPr="003E06FA" w:rsidRDefault="00174BFF" w:rsidP="00174BFF">
      <w:pPr>
        <w:pStyle w:val="ListParagraph"/>
        <w:numPr>
          <w:ilvl w:val="0"/>
          <w:numId w:val="37"/>
        </w:numPr>
        <w:rPr>
          <w:sz w:val="24"/>
        </w:rPr>
      </w:pPr>
      <w:r w:rsidRPr="003E06FA">
        <w:rPr>
          <w:sz w:val="24"/>
        </w:rPr>
        <w:t xml:space="preserve">The Queensland Council of Social Service (QCOSS) </w:t>
      </w:r>
    </w:p>
    <w:p w:rsidR="00174BFF" w:rsidRPr="003E06FA" w:rsidRDefault="00174BFF" w:rsidP="00174BFF">
      <w:pPr>
        <w:pStyle w:val="ListParagraph"/>
        <w:numPr>
          <w:ilvl w:val="0"/>
          <w:numId w:val="37"/>
        </w:numPr>
        <w:rPr>
          <w:sz w:val="24"/>
        </w:rPr>
      </w:pPr>
      <w:r w:rsidRPr="003E06FA">
        <w:rPr>
          <w:sz w:val="24"/>
        </w:rPr>
        <w:t xml:space="preserve">The South Australian Council of Social Service (SACOSS) </w:t>
      </w:r>
    </w:p>
    <w:p w:rsidR="00174BFF" w:rsidRPr="003E06FA" w:rsidRDefault="00174BFF" w:rsidP="00174BFF">
      <w:pPr>
        <w:pStyle w:val="ListParagraph"/>
        <w:numPr>
          <w:ilvl w:val="0"/>
          <w:numId w:val="37"/>
        </w:numPr>
        <w:rPr>
          <w:sz w:val="24"/>
        </w:rPr>
      </w:pPr>
      <w:r w:rsidRPr="003E06FA">
        <w:rPr>
          <w:sz w:val="24"/>
        </w:rPr>
        <w:t>The Tasmanian Council of Social Service (</w:t>
      </w:r>
      <w:proofErr w:type="spellStart"/>
      <w:r w:rsidRPr="003E06FA">
        <w:rPr>
          <w:sz w:val="24"/>
        </w:rPr>
        <w:t>TasCOSS</w:t>
      </w:r>
      <w:proofErr w:type="spellEnd"/>
      <w:r w:rsidRPr="003E06FA">
        <w:rPr>
          <w:sz w:val="24"/>
        </w:rPr>
        <w:t xml:space="preserve">) </w:t>
      </w:r>
    </w:p>
    <w:p w:rsidR="00174BFF" w:rsidRPr="003E06FA" w:rsidRDefault="00174BFF" w:rsidP="00174BFF">
      <w:pPr>
        <w:pStyle w:val="ListParagraph"/>
        <w:numPr>
          <w:ilvl w:val="0"/>
          <w:numId w:val="37"/>
        </w:numPr>
        <w:rPr>
          <w:sz w:val="24"/>
        </w:rPr>
      </w:pPr>
      <w:r w:rsidRPr="003E06FA">
        <w:rPr>
          <w:sz w:val="24"/>
        </w:rPr>
        <w:t xml:space="preserve">The Victorian Council of Social Service (VCOSS) </w:t>
      </w:r>
    </w:p>
    <w:p w:rsidR="00174BFF" w:rsidRPr="003E06FA" w:rsidRDefault="00174BFF" w:rsidP="00174BFF">
      <w:pPr>
        <w:pStyle w:val="ListParagraph"/>
        <w:numPr>
          <w:ilvl w:val="0"/>
          <w:numId w:val="37"/>
        </w:numPr>
        <w:rPr>
          <w:sz w:val="24"/>
        </w:rPr>
      </w:pPr>
      <w:r w:rsidRPr="003E06FA">
        <w:rPr>
          <w:sz w:val="24"/>
        </w:rPr>
        <w:t xml:space="preserve">The Western Australian Council of Social Service (WACOSS) </w:t>
      </w:r>
    </w:p>
    <w:p w:rsidR="00DC6DCA" w:rsidRPr="00DC6DCA" w:rsidRDefault="00DC6DCA" w:rsidP="00DC6DCA">
      <w:pPr>
        <w:pStyle w:val="NormalWeb"/>
        <w:rPr>
          <w:rFonts w:ascii="Calibri" w:hAnsi="Calibri" w:cs="Calibri"/>
          <w:iCs/>
          <w:color w:val="000000"/>
          <w:sz w:val="24"/>
        </w:rPr>
      </w:pPr>
    </w:p>
    <w:p w:rsidR="00DC6DCA" w:rsidRPr="00DC6DCA" w:rsidRDefault="00DC6DCA" w:rsidP="00DC6DCA">
      <w:pPr>
        <w:pStyle w:val="NormalWeb"/>
        <w:rPr>
          <w:rFonts w:ascii="Calibri" w:hAnsi="Calibri" w:cs="Calibri"/>
          <w:bCs w:val="0"/>
          <w:color w:val="000000"/>
          <w:sz w:val="24"/>
          <w:lang w:eastAsia="en-AU"/>
        </w:rPr>
      </w:pPr>
      <w:r w:rsidRPr="00DC6DCA">
        <w:rPr>
          <w:rFonts w:ascii="Calibri" w:hAnsi="Calibri" w:cs="Calibri"/>
          <w:iCs/>
          <w:color w:val="000000"/>
          <w:sz w:val="24"/>
        </w:rPr>
        <w:t>The COSS (Councils of Social Service) Network is working towards a just, inclusive and sustainable Australia where everyone can exercise their inalienable human rights, has equal access to resources and opportunit</w:t>
      </w:r>
      <w:r w:rsidR="003A4ED5">
        <w:rPr>
          <w:rFonts w:ascii="Calibri" w:hAnsi="Calibri" w:cs="Calibri"/>
          <w:iCs/>
          <w:color w:val="000000"/>
          <w:sz w:val="24"/>
        </w:rPr>
        <w:t>ies</w:t>
      </w:r>
      <w:r w:rsidRPr="00DC6DCA">
        <w:rPr>
          <w:rFonts w:ascii="Calibri" w:hAnsi="Calibri" w:cs="Calibri"/>
          <w:iCs/>
          <w:color w:val="000000"/>
          <w:sz w:val="24"/>
        </w:rPr>
        <w:t xml:space="preserve"> to participate in and benefit from social and economic life. </w:t>
      </w:r>
    </w:p>
    <w:p w:rsidR="003E06FA" w:rsidRPr="00DC6DCA" w:rsidRDefault="003E06FA" w:rsidP="003E06FA">
      <w:pPr>
        <w:rPr>
          <w:sz w:val="24"/>
        </w:rPr>
      </w:pPr>
    </w:p>
    <w:p w:rsidR="003E06FA" w:rsidRPr="00B11B49" w:rsidRDefault="003E06FA" w:rsidP="003E06FA">
      <w:pPr>
        <w:rPr>
          <w:sz w:val="24"/>
        </w:rPr>
      </w:pPr>
      <w:r w:rsidRPr="00B11B49">
        <w:rPr>
          <w:sz w:val="24"/>
        </w:rPr>
        <w:t xml:space="preserve">This submission has been prepared </w:t>
      </w:r>
      <w:r w:rsidR="00243F40">
        <w:rPr>
          <w:sz w:val="24"/>
        </w:rPr>
        <w:t xml:space="preserve">by ACOSS </w:t>
      </w:r>
      <w:r w:rsidRPr="00B11B49">
        <w:rPr>
          <w:sz w:val="24"/>
        </w:rPr>
        <w:t xml:space="preserve">for the COSS Network. It has been authorised by the Chief Executive Officer of each Council. </w:t>
      </w:r>
    </w:p>
    <w:p w:rsidR="003E06FA" w:rsidRPr="00B11B49" w:rsidRDefault="003E06FA" w:rsidP="003E06FA">
      <w:pPr>
        <w:rPr>
          <w:rFonts w:asciiTheme="majorHAnsi" w:eastAsiaTheme="majorEastAsia" w:hAnsiTheme="majorHAnsi" w:cstheme="majorBidi"/>
          <w:color w:val="365F91" w:themeColor="accent1" w:themeShade="BF"/>
          <w:sz w:val="24"/>
        </w:rPr>
      </w:pPr>
      <w:r w:rsidRPr="00B11B49">
        <w:rPr>
          <w:sz w:val="24"/>
        </w:rPr>
        <w:br w:type="page"/>
      </w:r>
    </w:p>
    <w:p w:rsidR="003E06FA" w:rsidRPr="00B11B49" w:rsidRDefault="003E06FA" w:rsidP="003E06FA">
      <w:pPr>
        <w:pStyle w:val="Heading3"/>
      </w:pPr>
      <w:r w:rsidRPr="00B11B49">
        <w:lastRenderedPageBreak/>
        <w:t>Summary</w:t>
      </w:r>
    </w:p>
    <w:p w:rsidR="003E06FA" w:rsidRPr="005044E6" w:rsidRDefault="003E06FA" w:rsidP="003E06FA">
      <w:pPr>
        <w:spacing w:after="240"/>
        <w:rPr>
          <w:sz w:val="24"/>
        </w:rPr>
      </w:pPr>
      <w:r w:rsidRPr="005044E6">
        <w:rPr>
          <w:sz w:val="24"/>
        </w:rPr>
        <w:t xml:space="preserve">The establishment of a national regulator for the community sector has long been championed by </w:t>
      </w:r>
      <w:r w:rsidR="00A33CBA">
        <w:rPr>
          <w:sz w:val="24"/>
        </w:rPr>
        <w:t xml:space="preserve">the </w:t>
      </w:r>
      <w:r w:rsidRPr="005044E6">
        <w:rPr>
          <w:sz w:val="24"/>
        </w:rPr>
        <w:t xml:space="preserve">COSS Network. We welcomed the Government’s commitment to this reform in 2011, </w:t>
      </w:r>
      <w:r>
        <w:rPr>
          <w:sz w:val="24"/>
        </w:rPr>
        <w:t xml:space="preserve">the establishment of the </w:t>
      </w:r>
      <w:r w:rsidR="00226739">
        <w:rPr>
          <w:sz w:val="24"/>
        </w:rPr>
        <w:t xml:space="preserve">Australian Charities and Not-for-profits Commission (the </w:t>
      </w:r>
      <w:r>
        <w:rPr>
          <w:sz w:val="24"/>
        </w:rPr>
        <w:t>ACNC</w:t>
      </w:r>
      <w:r w:rsidR="00226739">
        <w:rPr>
          <w:sz w:val="24"/>
        </w:rPr>
        <w:t>)</w:t>
      </w:r>
      <w:r>
        <w:rPr>
          <w:sz w:val="24"/>
        </w:rPr>
        <w:t xml:space="preserve">, </w:t>
      </w:r>
      <w:r w:rsidRPr="005044E6">
        <w:rPr>
          <w:sz w:val="24"/>
        </w:rPr>
        <w:t>and the Government’s recommitment to the regulator in 2016.</w:t>
      </w:r>
    </w:p>
    <w:p w:rsidR="003E06FA" w:rsidRPr="009C7B27" w:rsidRDefault="003E06FA" w:rsidP="003E06FA">
      <w:pPr>
        <w:spacing w:after="240"/>
        <w:rPr>
          <w:sz w:val="24"/>
          <w:lang w:val="en-US"/>
        </w:rPr>
      </w:pPr>
      <w:r w:rsidRPr="009C7B27">
        <w:rPr>
          <w:sz w:val="24"/>
          <w:lang w:val="en-US"/>
        </w:rPr>
        <w:t xml:space="preserve">The COSS Network considers that the ACNC and the </w:t>
      </w:r>
      <w:r w:rsidR="00226739" w:rsidRPr="00226739">
        <w:rPr>
          <w:i/>
          <w:sz w:val="24"/>
          <w:lang w:val="en-US"/>
        </w:rPr>
        <w:t>Australian Charities and Not-for-profits Commission Act 2012</w:t>
      </w:r>
      <w:r w:rsidR="00226739">
        <w:rPr>
          <w:sz w:val="24"/>
          <w:lang w:val="en-US"/>
        </w:rPr>
        <w:t xml:space="preserve"> (the </w:t>
      </w:r>
      <w:r w:rsidRPr="009C7B27">
        <w:rPr>
          <w:sz w:val="24"/>
          <w:lang w:val="en-US"/>
        </w:rPr>
        <w:t>ACNC Act</w:t>
      </w:r>
      <w:r w:rsidR="00226739">
        <w:rPr>
          <w:sz w:val="24"/>
          <w:lang w:val="en-US"/>
        </w:rPr>
        <w:t>)</w:t>
      </w:r>
      <w:r w:rsidRPr="009C7B27">
        <w:rPr>
          <w:sz w:val="24"/>
          <w:lang w:val="en-US"/>
        </w:rPr>
        <w:t xml:space="preserve"> are performing well, and the approach taken by the ACNC to the performance of its regulatory functions over the past five years should </w:t>
      </w:r>
      <w:r w:rsidR="00BA3770">
        <w:rPr>
          <w:sz w:val="24"/>
          <w:lang w:val="en-US"/>
        </w:rPr>
        <w:t>in</w:t>
      </w:r>
      <w:r w:rsidRPr="009C7B27">
        <w:rPr>
          <w:sz w:val="24"/>
          <w:lang w:val="en-US"/>
        </w:rPr>
        <w:t xml:space="preserve">form the basis going forward. </w:t>
      </w:r>
    </w:p>
    <w:p w:rsidR="003E06FA" w:rsidRPr="009C7B27" w:rsidRDefault="003E06FA" w:rsidP="003E06FA">
      <w:pPr>
        <w:autoSpaceDE w:val="0"/>
        <w:autoSpaceDN w:val="0"/>
        <w:adjustRightInd w:val="0"/>
        <w:spacing w:after="240"/>
        <w:rPr>
          <w:rFonts w:cstheme="minorHAnsi"/>
          <w:sz w:val="24"/>
        </w:rPr>
      </w:pPr>
      <w:r w:rsidRPr="009C7B27">
        <w:rPr>
          <w:sz w:val="24"/>
          <w:lang w:val="en-US"/>
        </w:rPr>
        <w:t xml:space="preserve">The COSS Network has reviewed the ACNC’s submission to this enquiry, and largely agrees with the recommendations. </w:t>
      </w:r>
      <w:r w:rsidR="00BA3770">
        <w:rPr>
          <w:sz w:val="24"/>
          <w:lang w:val="en-US"/>
        </w:rPr>
        <w:t>However</w:t>
      </w:r>
      <w:r w:rsidRPr="009C7B27">
        <w:rPr>
          <w:sz w:val="24"/>
          <w:lang w:val="en-US"/>
        </w:rPr>
        <w:t xml:space="preserve">, there are two recommendations that cannot be supported and should not proceed. Recommendations that should be rejected include the proposal to expand the objects of the Act to include new objects, and to </w:t>
      </w:r>
      <w:r w:rsidRPr="009C7B27">
        <w:rPr>
          <w:rFonts w:cstheme="minorHAnsi"/>
          <w:sz w:val="24"/>
        </w:rPr>
        <w:t xml:space="preserve">amend the secrecy protections at </w:t>
      </w:r>
      <w:r w:rsidR="008729DC">
        <w:rPr>
          <w:rFonts w:cstheme="minorHAnsi"/>
          <w:sz w:val="24"/>
        </w:rPr>
        <w:t xml:space="preserve">Subdivision </w:t>
      </w:r>
      <w:r w:rsidRPr="009C7B27">
        <w:rPr>
          <w:rFonts w:cstheme="minorHAnsi"/>
          <w:sz w:val="24"/>
        </w:rPr>
        <w:t xml:space="preserve">150C for organisations that are under investigation by the ACNC. </w:t>
      </w:r>
    </w:p>
    <w:p w:rsidR="003E06FA" w:rsidRPr="009C7B27" w:rsidRDefault="003E06FA" w:rsidP="003E06FA">
      <w:pPr>
        <w:rPr>
          <w:sz w:val="24"/>
        </w:rPr>
      </w:pPr>
      <w:r w:rsidRPr="00B11B49">
        <w:rPr>
          <w:sz w:val="24"/>
        </w:rPr>
        <w:t xml:space="preserve">Independence is a core principle of the NFP sector. This principle must be applied in terms preserving the sector’s diversity of structure, governance arrangements and activities, in particular public advocacy. </w:t>
      </w:r>
      <w:r w:rsidRPr="009C7B27">
        <w:rPr>
          <w:sz w:val="24"/>
        </w:rPr>
        <w:t xml:space="preserve">To better protect the independence of the </w:t>
      </w:r>
      <w:r w:rsidR="003A4ED5">
        <w:rPr>
          <w:sz w:val="24"/>
        </w:rPr>
        <w:t>not for profit (</w:t>
      </w:r>
      <w:r w:rsidRPr="009C7B27">
        <w:rPr>
          <w:sz w:val="24"/>
        </w:rPr>
        <w:t>NFP</w:t>
      </w:r>
      <w:r w:rsidR="003A4ED5">
        <w:rPr>
          <w:sz w:val="24"/>
        </w:rPr>
        <w:t>)</w:t>
      </w:r>
      <w:r w:rsidRPr="009C7B27">
        <w:rPr>
          <w:sz w:val="24"/>
        </w:rPr>
        <w:t xml:space="preserve"> sector we suggest an amendment to the ACNC Act</w:t>
      </w:r>
      <w:r>
        <w:rPr>
          <w:sz w:val="24"/>
        </w:rPr>
        <w:t xml:space="preserve"> to introduce the concept of the independence of the sector. </w:t>
      </w:r>
    </w:p>
    <w:p w:rsidR="003E06FA" w:rsidRDefault="003E06FA" w:rsidP="003E06FA">
      <w:pPr>
        <w:autoSpaceDE w:val="0"/>
        <w:autoSpaceDN w:val="0"/>
        <w:adjustRightInd w:val="0"/>
        <w:spacing w:after="240"/>
        <w:rPr>
          <w:rFonts w:cstheme="minorHAnsi"/>
          <w:sz w:val="24"/>
        </w:rPr>
      </w:pPr>
    </w:p>
    <w:p w:rsidR="003E06FA" w:rsidRPr="00622D84" w:rsidRDefault="003E06FA" w:rsidP="003E06FA">
      <w:pPr>
        <w:pStyle w:val="Heading3"/>
      </w:pPr>
      <w:r>
        <w:t xml:space="preserve">Recommendations </w:t>
      </w:r>
    </w:p>
    <w:p w:rsidR="003E06FA" w:rsidRPr="003E06FA" w:rsidRDefault="003E06FA" w:rsidP="003E06FA">
      <w:pPr>
        <w:rPr>
          <w:b/>
          <w:sz w:val="24"/>
          <w:lang w:val="en-US"/>
        </w:rPr>
      </w:pPr>
      <w:r w:rsidRPr="003E06FA">
        <w:rPr>
          <w:b/>
          <w:sz w:val="24"/>
          <w:lang w:val="en-US"/>
        </w:rPr>
        <w:t xml:space="preserve">1.  The approach taken by the ACNC to the performance of its regulatory functions over the past five years should form the basis of the approach going forward. </w:t>
      </w:r>
    </w:p>
    <w:p w:rsidR="003E06FA" w:rsidRPr="003E06FA" w:rsidRDefault="003E06FA" w:rsidP="003E06FA">
      <w:pPr>
        <w:autoSpaceDE w:val="0"/>
        <w:autoSpaceDN w:val="0"/>
        <w:adjustRightInd w:val="0"/>
        <w:spacing w:after="0"/>
        <w:rPr>
          <w:rFonts w:cstheme="minorHAnsi"/>
          <w:b/>
          <w:sz w:val="24"/>
        </w:rPr>
      </w:pPr>
      <w:r w:rsidRPr="003E06FA">
        <w:rPr>
          <w:rFonts w:cstheme="minorHAnsi"/>
          <w:b/>
          <w:sz w:val="24"/>
        </w:rPr>
        <w:t>2.  Retain the current objects of the Act, and reject the ACNC’s proposal to insert new objects.</w:t>
      </w:r>
    </w:p>
    <w:p w:rsidR="003A6D49" w:rsidRPr="003A6D49" w:rsidRDefault="003E06FA" w:rsidP="003A6D49">
      <w:pPr>
        <w:autoSpaceDE w:val="0"/>
        <w:autoSpaceDN w:val="0"/>
        <w:adjustRightInd w:val="0"/>
        <w:spacing w:after="0"/>
        <w:rPr>
          <w:rFonts w:cstheme="minorHAnsi"/>
          <w:b/>
          <w:sz w:val="24"/>
        </w:rPr>
      </w:pPr>
      <w:r w:rsidRPr="003A6D49">
        <w:rPr>
          <w:rFonts w:cstheme="minorHAnsi"/>
          <w:b/>
          <w:sz w:val="24"/>
        </w:rPr>
        <w:t xml:space="preserve">3. </w:t>
      </w:r>
      <w:r w:rsidR="003A6D49" w:rsidRPr="003A6D49">
        <w:rPr>
          <w:rFonts w:cstheme="minorHAnsi"/>
          <w:b/>
          <w:sz w:val="24"/>
        </w:rPr>
        <w:t xml:space="preserve"> Retain the secrecy protections at </w:t>
      </w:r>
      <w:r w:rsidR="00226739">
        <w:rPr>
          <w:rFonts w:cstheme="minorHAnsi"/>
          <w:b/>
          <w:sz w:val="24"/>
        </w:rPr>
        <w:t xml:space="preserve">Subdivision </w:t>
      </w:r>
      <w:r w:rsidR="003A6D49" w:rsidRPr="003A6D49">
        <w:rPr>
          <w:rFonts w:cstheme="minorHAnsi"/>
          <w:b/>
          <w:sz w:val="24"/>
        </w:rPr>
        <w:t>150C for organisations that are under investigation by the ACNC</w:t>
      </w:r>
      <w:r w:rsidR="003A4ED5">
        <w:rPr>
          <w:rFonts w:cstheme="minorHAnsi"/>
          <w:b/>
          <w:sz w:val="24"/>
        </w:rPr>
        <w:t>.</w:t>
      </w:r>
    </w:p>
    <w:p w:rsidR="003A6D49" w:rsidRPr="003A6D49" w:rsidRDefault="003A6D49" w:rsidP="003A6D49">
      <w:pPr>
        <w:rPr>
          <w:b/>
          <w:sz w:val="24"/>
          <w:lang w:val="en-US"/>
        </w:rPr>
      </w:pPr>
      <w:r w:rsidRPr="003A6D49">
        <w:rPr>
          <w:b/>
          <w:sz w:val="24"/>
          <w:lang w:val="en-US"/>
        </w:rPr>
        <w:t>4.  Make an amendment to the Act to insert the concept of</w:t>
      </w:r>
      <w:r w:rsidR="008729DC">
        <w:rPr>
          <w:b/>
          <w:sz w:val="24"/>
          <w:lang w:val="en-US"/>
        </w:rPr>
        <w:t xml:space="preserve"> the</w:t>
      </w:r>
      <w:r w:rsidRPr="003A6D49">
        <w:rPr>
          <w:b/>
          <w:sz w:val="24"/>
          <w:lang w:val="en-US"/>
        </w:rPr>
        <w:t xml:space="preserve"> “Independence of the NFP Sector”</w:t>
      </w:r>
      <w:r w:rsidR="003A4ED5">
        <w:rPr>
          <w:b/>
          <w:sz w:val="24"/>
          <w:lang w:val="en-US"/>
        </w:rPr>
        <w:t>.</w:t>
      </w:r>
    </w:p>
    <w:p w:rsidR="003E06FA" w:rsidRDefault="003E06FA" w:rsidP="003E06FA">
      <w:pPr>
        <w:rPr>
          <w:sz w:val="24"/>
          <w:lang w:val="en-US"/>
        </w:rPr>
      </w:pPr>
    </w:p>
    <w:p w:rsidR="003E06FA" w:rsidRDefault="003E06FA" w:rsidP="003E06FA">
      <w:pPr>
        <w:rPr>
          <w:sz w:val="24"/>
          <w:lang w:val="en-US"/>
        </w:rPr>
      </w:pPr>
    </w:p>
    <w:p w:rsidR="003E06FA" w:rsidRDefault="003E06FA" w:rsidP="003E06FA">
      <w:pPr>
        <w:rPr>
          <w:sz w:val="24"/>
          <w:lang w:val="en-US"/>
        </w:rPr>
      </w:pPr>
    </w:p>
    <w:p w:rsidR="003E06FA" w:rsidRDefault="003E06FA" w:rsidP="003E06FA">
      <w:pPr>
        <w:rPr>
          <w:sz w:val="24"/>
          <w:lang w:val="en-US"/>
        </w:rPr>
      </w:pPr>
    </w:p>
    <w:p w:rsidR="003E06FA" w:rsidRPr="00B11B49" w:rsidRDefault="003E06FA" w:rsidP="003E06FA">
      <w:pPr>
        <w:rPr>
          <w:rFonts w:asciiTheme="majorHAnsi" w:eastAsiaTheme="majorEastAsia" w:hAnsiTheme="majorHAnsi" w:cstheme="majorBidi"/>
          <w:color w:val="365F91" w:themeColor="accent1" w:themeShade="BF"/>
          <w:sz w:val="24"/>
          <w:lang w:val="en-US"/>
        </w:rPr>
      </w:pPr>
      <w:r w:rsidRPr="00B11B49">
        <w:rPr>
          <w:sz w:val="24"/>
          <w:lang w:val="en-US"/>
        </w:rPr>
        <w:br w:type="page"/>
      </w:r>
    </w:p>
    <w:p w:rsidR="003E06FA" w:rsidRPr="00B11B49" w:rsidRDefault="003E06FA" w:rsidP="003E06FA">
      <w:pPr>
        <w:pStyle w:val="Heading3"/>
      </w:pPr>
      <w:r w:rsidRPr="00B11B49">
        <w:lastRenderedPageBreak/>
        <w:t>History of</w:t>
      </w:r>
      <w:r w:rsidR="00BA3770">
        <w:t xml:space="preserve"> </w:t>
      </w:r>
      <w:r w:rsidRPr="00B11B49">
        <w:t>ACNC and COSS Network engagement</w:t>
      </w:r>
    </w:p>
    <w:p w:rsidR="003E06FA" w:rsidRPr="00B11B49" w:rsidRDefault="00BA3770" w:rsidP="003E06FA">
      <w:pPr>
        <w:rPr>
          <w:sz w:val="24"/>
        </w:rPr>
      </w:pPr>
      <w:r>
        <w:rPr>
          <w:sz w:val="24"/>
        </w:rPr>
        <w:t>Concerns</w:t>
      </w:r>
      <w:r w:rsidR="003E06FA" w:rsidRPr="00B11B49">
        <w:rPr>
          <w:sz w:val="24"/>
        </w:rPr>
        <w:t xml:space="preserve"> regarding appropriate regulation of the NFP sector have been </w:t>
      </w:r>
      <w:r w:rsidR="003E06FA">
        <w:rPr>
          <w:sz w:val="24"/>
        </w:rPr>
        <w:t>the subject of debate for more than two</w:t>
      </w:r>
      <w:r w:rsidR="003E06FA" w:rsidRPr="00B11B49">
        <w:rPr>
          <w:sz w:val="24"/>
        </w:rPr>
        <w:t xml:space="preserve"> decade</w:t>
      </w:r>
      <w:r w:rsidR="003E06FA">
        <w:rPr>
          <w:sz w:val="24"/>
        </w:rPr>
        <w:t>s</w:t>
      </w:r>
      <w:r w:rsidR="003E06FA" w:rsidRPr="00B11B49">
        <w:rPr>
          <w:sz w:val="24"/>
        </w:rPr>
        <w:t xml:space="preserve">. Key forums where </w:t>
      </w:r>
      <w:r w:rsidR="00D21D55">
        <w:rPr>
          <w:sz w:val="24"/>
        </w:rPr>
        <w:t xml:space="preserve">the </w:t>
      </w:r>
      <w:r w:rsidR="003E06FA" w:rsidRPr="00B11B49">
        <w:rPr>
          <w:sz w:val="24"/>
        </w:rPr>
        <w:t xml:space="preserve">regulation of the charities and NFP sector </w:t>
      </w:r>
      <w:r w:rsidR="00D21D55">
        <w:rPr>
          <w:sz w:val="24"/>
        </w:rPr>
        <w:t>has been</w:t>
      </w:r>
      <w:r w:rsidR="003A4ED5">
        <w:rPr>
          <w:sz w:val="24"/>
        </w:rPr>
        <w:t xml:space="preserve"> </w:t>
      </w:r>
      <w:r w:rsidR="00D21D55">
        <w:rPr>
          <w:sz w:val="24"/>
        </w:rPr>
        <w:t>considered</w:t>
      </w:r>
      <w:r w:rsidR="003A4ED5">
        <w:rPr>
          <w:sz w:val="24"/>
        </w:rPr>
        <w:t xml:space="preserve"> </w:t>
      </w:r>
      <w:r w:rsidR="003E06FA" w:rsidRPr="00B11B49">
        <w:rPr>
          <w:sz w:val="24"/>
        </w:rPr>
        <w:t>include the Senate Standing Committee o</w:t>
      </w:r>
      <w:r w:rsidR="003E06FA">
        <w:rPr>
          <w:sz w:val="24"/>
        </w:rPr>
        <w:t>n Economics in 2001</w:t>
      </w:r>
      <w:r w:rsidR="003E06FA" w:rsidRPr="00B11B49">
        <w:rPr>
          <w:sz w:val="24"/>
        </w:rPr>
        <w:t xml:space="preserve">, the National Roundtable of </w:t>
      </w:r>
      <w:r w:rsidR="003E06FA">
        <w:rPr>
          <w:sz w:val="24"/>
        </w:rPr>
        <w:t>Non</w:t>
      </w:r>
      <w:r w:rsidR="00D21D55">
        <w:rPr>
          <w:sz w:val="24"/>
        </w:rPr>
        <w:t>-</w:t>
      </w:r>
      <w:r w:rsidR="003E06FA">
        <w:rPr>
          <w:sz w:val="24"/>
        </w:rPr>
        <w:t>profit Organisations in 2004</w:t>
      </w:r>
      <w:r w:rsidR="003E06FA" w:rsidRPr="00B11B49">
        <w:rPr>
          <w:sz w:val="24"/>
        </w:rPr>
        <w:t xml:space="preserve"> and the Senate Standing Committee on Economics, Disclosure regimes for charities and NFP organisations in 2008. These concerns culminated in commissioning the Productivity Commission to undertak</w:t>
      </w:r>
      <w:r w:rsidR="00226739">
        <w:rPr>
          <w:sz w:val="24"/>
        </w:rPr>
        <w:t>e a study into the contribution</w:t>
      </w:r>
      <w:r w:rsidR="003E06FA" w:rsidRPr="00B11B49">
        <w:rPr>
          <w:sz w:val="24"/>
        </w:rPr>
        <w:t xml:space="preserve"> of the NFP sector in 2009. </w:t>
      </w:r>
    </w:p>
    <w:p w:rsidR="003E06FA" w:rsidRPr="00B11B49" w:rsidRDefault="003E06FA" w:rsidP="003E06FA">
      <w:pPr>
        <w:rPr>
          <w:sz w:val="24"/>
        </w:rPr>
      </w:pPr>
      <w:r w:rsidRPr="00B11B49">
        <w:rPr>
          <w:sz w:val="24"/>
        </w:rPr>
        <w:t xml:space="preserve">Given the COSS Network’s identification of effective national regulation for the NFP sector as a priority issue, we devoted significant time and effort into contributing to the Study and its outcomes. As part of this, </w:t>
      </w:r>
      <w:r w:rsidR="00226739">
        <w:rPr>
          <w:sz w:val="24"/>
        </w:rPr>
        <w:t>the COSS Network</w:t>
      </w:r>
      <w:r w:rsidRPr="00B11B49">
        <w:rPr>
          <w:sz w:val="24"/>
        </w:rPr>
        <w:t xml:space="preserve"> conducted consultation across the community sector to support this work. </w:t>
      </w:r>
      <w:r>
        <w:rPr>
          <w:sz w:val="24"/>
        </w:rPr>
        <w:t>The COSS Network</w:t>
      </w:r>
      <w:r w:rsidRPr="00B11B49">
        <w:rPr>
          <w:sz w:val="24"/>
        </w:rPr>
        <w:t xml:space="preserve"> contributed a number of submissions to the study, appeared at Senate Committee hearings on the matter, responded to draft legislative proposals and engaged with the ACNC when it was established. While there was significant commentary </w:t>
      </w:r>
      <w:r w:rsidR="00D21D55">
        <w:rPr>
          <w:sz w:val="24"/>
        </w:rPr>
        <w:t>on what</w:t>
      </w:r>
      <w:r w:rsidRPr="00B11B49">
        <w:rPr>
          <w:sz w:val="24"/>
        </w:rPr>
        <w:t xml:space="preserve"> form effective national regulation should take, the detail of the overarching and subordinate legislation, and discussion regarding the objects and activities of the national regulator, there was broad support for the recommendations of the Productivity Commission, which focused on a consistent regulatory approach for the NFP sector. Responding to these recommendations, the then Government announced in May 2011 that it would establish the Australian Charities and NFPs Commission as well as committing to reform the use of tax concessions by businesses run by NFPs, with the objective of ‘better targeting of tax concessions’.</w:t>
      </w:r>
    </w:p>
    <w:p w:rsidR="003E06FA" w:rsidRPr="00B11B49" w:rsidRDefault="00A33CBA" w:rsidP="003E06FA">
      <w:pPr>
        <w:rPr>
          <w:sz w:val="24"/>
        </w:rPr>
      </w:pPr>
      <w:r>
        <w:rPr>
          <w:sz w:val="24"/>
        </w:rPr>
        <w:t>The Government</w:t>
      </w:r>
      <w:r w:rsidR="003E06FA" w:rsidRPr="00B11B49">
        <w:rPr>
          <w:sz w:val="24"/>
        </w:rPr>
        <w:t xml:space="preserve"> also committed to introduce a statutory definition of ‘charity’, to </w:t>
      </w:r>
      <w:r w:rsidR="00943387">
        <w:rPr>
          <w:sz w:val="24"/>
        </w:rPr>
        <w:t>replace the</w:t>
      </w:r>
      <w:r w:rsidR="00943387" w:rsidRPr="00B11B49">
        <w:rPr>
          <w:sz w:val="24"/>
        </w:rPr>
        <w:t xml:space="preserve"> </w:t>
      </w:r>
      <w:r w:rsidR="003E06FA" w:rsidRPr="00B11B49">
        <w:rPr>
          <w:sz w:val="24"/>
        </w:rPr>
        <w:t xml:space="preserve">current ‘outdated and uncertain’ definition and to assist the sector through greater consistency. </w:t>
      </w:r>
      <w:r w:rsidR="008729DC">
        <w:rPr>
          <w:sz w:val="24"/>
        </w:rPr>
        <w:t>The COSS Network</w:t>
      </w:r>
      <w:r w:rsidR="003E06FA" w:rsidRPr="00B11B49">
        <w:rPr>
          <w:sz w:val="24"/>
        </w:rPr>
        <w:t xml:space="preserve"> welcomed the package of reforms outlined by the Government and, as previously noted, devoted significant resources to enable our engagement to the process around the rollout of these reforms. After the initial announcem</w:t>
      </w:r>
      <w:r>
        <w:rPr>
          <w:sz w:val="24"/>
        </w:rPr>
        <w:t>ent, t</w:t>
      </w:r>
      <w:r w:rsidR="003E06FA" w:rsidRPr="00B11B49">
        <w:rPr>
          <w:sz w:val="24"/>
        </w:rPr>
        <w:t xml:space="preserve">he COSS Network and others across the sector worked consistently in response to draft legislation on the establishment of the ACNC. Initial proposals were considered, and </w:t>
      </w:r>
      <w:r w:rsidR="003E06FA">
        <w:rPr>
          <w:sz w:val="24"/>
        </w:rPr>
        <w:t>t</w:t>
      </w:r>
      <w:r w:rsidR="003E06FA" w:rsidRPr="00B11B49">
        <w:rPr>
          <w:sz w:val="24"/>
        </w:rPr>
        <w:t>he COSS Network continued to raise questions around threshold issues such as independence, proportionality and</w:t>
      </w:r>
      <w:r w:rsidR="00943387">
        <w:rPr>
          <w:sz w:val="24"/>
        </w:rPr>
        <w:t xml:space="preserve"> the</w:t>
      </w:r>
      <w:r w:rsidR="003E06FA" w:rsidRPr="00B11B49">
        <w:rPr>
          <w:sz w:val="24"/>
        </w:rPr>
        <w:t xml:space="preserve"> relationship with other key bodies such as the Australian Taxation Office. </w:t>
      </w:r>
    </w:p>
    <w:p w:rsidR="003E06FA" w:rsidRPr="00B11B49" w:rsidRDefault="003E06FA" w:rsidP="003E06FA">
      <w:pPr>
        <w:rPr>
          <w:sz w:val="24"/>
        </w:rPr>
      </w:pPr>
      <w:r w:rsidRPr="00B11B49">
        <w:rPr>
          <w:sz w:val="24"/>
        </w:rPr>
        <w:t>When the Government proposed the abolition of the ACNC in 2014, the COSS Network and others advocated strongly for its retention. The Government ultimately agreed</w:t>
      </w:r>
      <w:r w:rsidR="008729DC">
        <w:rPr>
          <w:sz w:val="24"/>
        </w:rPr>
        <w:t xml:space="preserve"> and announced in 2016 that the ACNC would continue to operate. </w:t>
      </w:r>
    </w:p>
    <w:p w:rsidR="003E06FA" w:rsidRPr="00C977DB" w:rsidRDefault="003E06FA" w:rsidP="003E06FA">
      <w:pPr>
        <w:rPr>
          <w:sz w:val="24"/>
        </w:rPr>
      </w:pPr>
      <w:r w:rsidRPr="00B11B49">
        <w:rPr>
          <w:sz w:val="24"/>
        </w:rPr>
        <w:t xml:space="preserve">The COSS Network is represented by ACOSS on the Commission’s Sector Users Group. Via this forum, ACOSS contributes to discussions relating to the effective operation of the Commission, and provides input and advice to the Commission on the performance of its regulatory functions. </w:t>
      </w:r>
    </w:p>
    <w:p w:rsidR="003E06FA" w:rsidRDefault="003E06FA" w:rsidP="003E06FA">
      <w:pPr>
        <w:rPr>
          <w:rFonts w:asciiTheme="majorHAnsi" w:eastAsiaTheme="majorEastAsia" w:hAnsiTheme="majorHAnsi" w:cstheme="majorBidi"/>
          <w:color w:val="365F91" w:themeColor="accent1" w:themeShade="BF"/>
          <w:sz w:val="24"/>
          <w:lang w:val="en-US"/>
        </w:rPr>
      </w:pPr>
    </w:p>
    <w:p w:rsidR="003E06FA" w:rsidRDefault="003E06FA" w:rsidP="003E06FA">
      <w:pPr>
        <w:rPr>
          <w:rFonts w:asciiTheme="majorHAnsi" w:eastAsiaTheme="majorEastAsia" w:hAnsiTheme="majorHAnsi" w:cstheme="majorBidi"/>
          <w:color w:val="365F91" w:themeColor="accent1" w:themeShade="BF"/>
          <w:sz w:val="24"/>
          <w:lang w:val="en-US"/>
        </w:rPr>
      </w:pPr>
    </w:p>
    <w:p w:rsidR="003E06FA" w:rsidRDefault="003E06FA" w:rsidP="003E06FA">
      <w:pPr>
        <w:rPr>
          <w:rFonts w:asciiTheme="majorHAnsi" w:eastAsiaTheme="majorEastAsia" w:hAnsiTheme="majorHAnsi" w:cstheme="majorBidi"/>
          <w:color w:val="365F91" w:themeColor="accent1" w:themeShade="BF"/>
          <w:sz w:val="24"/>
          <w:lang w:val="en-US"/>
        </w:rPr>
      </w:pPr>
    </w:p>
    <w:p w:rsidR="006925F0" w:rsidRPr="00B11B49" w:rsidRDefault="006925F0" w:rsidP="003E06FA">
      <w:pPr>
        <w:rPr>
          <w:rFonts w:asciiTheme="majorHAnsi" w:eastAsiaTheme="majorEastAsia" w:hAnsiTheme="majorHAnsi" w:cstheme="majorBidi"/>
          <w:color w:val="365F91" w:themeColor="accent1" w:themeShade="BF"/>
          <w:sz w:val="24"/>
          <w:lang w:val="en-US"/>
        </w:rPr>
      </w:pPr>
    </w:p>
    <w:p w:rsidR="003E06FA" w:rsidRPr="00B11B49" w:rsidRDefault="003E06FA" w:rsidP="003E06FA">
      <w:pPr>
        <w:pStyle w:val="Heading3"/>
      </w:pPr>
      <w:r w:rsidRPr="00B11B49">
        <w:lastRenderedPageBreak/>
        <w:t>The ACNC and the ACNC Act are performing well</w:t>
      </w:r>
    </w:p>
    <w:p w:rsidR="003E06FA" w:rsidRPr="00B11B49" w:rsidRDefault="003E06FA" w:rsidP="003E06FA">
      <w:pPr>
        <w:rPr>
          <w:sz w:val="24"/>
          <w:lang w:val="en-US"/>
        </w:rPr>
      </w:pPr>
      <w:r w:rsidRPr="00B11B49">
        <w:rPr>
          <w:sz w:val="24"/>
          <w:lang w:val="en-US"/>
        </w:rPr>
        <w:t xml:space="preserve">The COSS Network considers that the ACNC and the ACNC Act are performing well, and the approach taken by the ACNC </w:t>
      </w:r>
      <w:r>
        <w:rPr>
          <w:sz w:val="24"/>
          <w:lang w:val="en-US"/>
        </w:rPr>
        <w:t xml:space="preserve">to the performance of its regulatory functions </w:t>
      </w:r>
      <w:r w:rsidRPr="00B11B49">
        <w:rPr>
          <w:sz w:val="24"/>
          <w:lang w:val="en-US"/>
        </w:rPr>
        <w:t xml:space="preserve">over the past five years should form the basis of the approach going forward. </w:t>
      </w:r>
    </w:p>
    <w:p w:rsidR="003E06FA" w:rsidRPr="00B11B49" w:rsidRDefault="003E06FA" w:rsidP="003E06FA">
      <w:pPr>
        <w:rPr>
          <w:sz w:val="24"/>
          <w:lang w:val="en-US"/>
        </w:rPr>
      </w:pPr>
      <w:r w:rsidRPr="00B11B49">
        <w:rPr>
          <w:sz w:val="24"/>
          <w:lang w:val="en-US"/>
        </w:rPr>
        <w:t xml:space="preserve">The ACNC has promoted confidence in the sector, through its visible deregistration of </w:t>
      </w:r>
      <w:proofErr w:type="spellStart"/>
      <w:r w:rsidRPr="00B11B49">
        <w:rPr>
          <w:sz w:val="24"/>
          <w:lang w:val="en-US"/>
        </w:rPr>
        <w:t>organisations</w:t>
      </w:r>
      <w:proofErr w:type="spellEnd"/>
      <w:r w:rsidRPr="00B11B49">
        <w:rPr>
          <w:sz w:val="24"/>
          <w:lang w:val="en-US"/>
        </w:rPr>
        <w:t xml:space="preserve"> that have not met their relevant reporting or other responsibilities. These visible regulatory interventions demonstrate that improper practices will not be tolerated. We note that the number of charities de-registered has increased since the creation of the ACNC, however we also note that the approach taken by the ACNC is educative in the first instance. </w:t>
      </w:r>
    </w:p>
    <w:p w:rsidR="00186234" w:rsidRDefault="003E06FA" w:rsidP="00186234">
      <w:pPr>
        <w:rPr>
          <w:sz w:val="24"/>
          <w:lang w:val="en-US"/>
        </w:rPr>
      </w:pPr>
      <w:r w:rsidRPr="00B11B49">
        <w:rPr>
          <w:sz w:val="24"/>
          <w:lang w:val="en-US"/>
        </w:rPr>
        <w:t xml:space="preserve">COSS Network members report that the ACNC’s approach to customer service is excellent, and compares </w:t>
      </w:r>
      <w:proofErr w:type="spellStart"/>
      <w:r w:rsidRPr="00B11B49">
        <w:rPr>
          <w:sz w:val="24"/>
          <w:lang w:val="en-US"/>
        </w:rPr>
        <w:t>favourably</w:t>
      </w:r>
      <w:proofErr w:type="spellEnd"/>
      <w:r w:rsidRPr="00B11B49">
        <w:rPr>
          <w:sz w:val="24"/>
          <w:lang w:val="en-US"/>
        </w:rPr>
        <w:t xml:space="preserve"> to the period when the functions were performed by other agencies. Members report that making contact, resolving queries and addressing issues are all simple propositions, and demonstrate that the ACNC is performing </w:t>
      </w:r>
      <w:r w:rsidR="00226739">
        <w:rPr>
          <w:sz w:val="24"/>
          <w:lang w:val="en-US"/>
        </w:rPr>
        <w:t xml:space="preserve">these functions </w:t>
      </w:r>
      <w:r w:rsidRPr="00B11B49">
        <w:rPr>
          <w:sz w:val="24"/>
          <w:lang w:val="en-US"/>
        </w:rPr>
        <w:t xml:space="preserve">well. The staff of the ACNC are both knowledgeable and helpful. In addition, the information provided by the ACNC as part of its educative function is useful, well written and supported by the </w:t>
      </w:r>
      <w:r>
        <w:rPr>
          <w:sz w:val="24"/>
          <w:lang w:val="en-US"/>
        </w:rPr>
        <w:t xml:space="preserve">COSS Network </w:t>
      </w:r>
      <w:r w:rsidRPr="00B11B49">
        <w:rPr>
          <w:sz w:val="24"/>
          <w:lang w:val="en-US"/>
        </w:rPr>
        <w:t>membership.</w:t>
      </w:r>
      <w:r>
        <w:rPr>
          <w:sz w:val="24"/>
          <w:lang w:val="en-US"/>
        </w:rPr>
        <w:t xml:space="preserve"> </w:t>
      </w:r>
    </w:p>
    <w:p w:rsidR="00186234" w:rsidRPr="00186234" w:rsidRDefault="003E06FA" w:rsidP="00186234">
      <w:pPr>
        <w:rPr>
          <w:sz w:val="24"/>
          <w:lang w:val="en-US"/>
        </w:rPr>
      </w:pPr>
      <w:r w:rsidRPr="00186234">
        <w:rPr>
          <w:sz w:val="24"/>
          <w:lang w:val="en-US"/>
        </w:rPr>
        <w:t>We note also the ACNC’s efforts to reduce red tape across the sector. While the COSS Network considers that the achievement of red tape reduction across the sector has been too slow, the efforts of the ACNC in pursuing those reductions are not the impediment</w:t>
      </w:r>
      <w:r w:rsidR="00186234">
        <w:rPr>
          <w:sz w:val="24"/>
          <w:lang w:val="en-US"/>
        </w:rPr>
        <w:t>, and t</w:t>
      </w:r>
      <w:r w:rsidRPr="00186234">
        <w:rPr>
          <w:sz w:val="24"/>
          <w:lang w:val="en-US"/>
        </w:rPr>
        <w:t>hese efforts have borne</w:t>
      </w:r>
      <w:r w:rsidR="00186234" w:rsidRPr="00186234">
        <w:rPr>
          <w:sz w:val="24"/>
          <w:lang w:val="en-US"/>
        </w:rPr>
        <w:t xml:space="preserve"> fruit in several jurisdictions.</w:t>
      </w:r>
      <w:r w:rsidRPr="00186234">
        <w:rPr>
          <w:sz w:val="24"/>
          <w:lang w:val="en-US"/>
        </w:rPr>
        <w:t xml:space="preserve"> </w:t>
      </w:r>
      <w:r w:rsidR="00186234">
        <w:rPr>
          <w:sz w:val="24"/>
          <w:lang w:val="en-US"/>
        </w:rPr>
        <w:t>For example,</w:t>
      </w:r>
      <w:r w:rsidR="00186234" w:rsidRPr="00186234">
        <w:rPr>
          <w:sz w:val="24"/>
        </w:rPr>
        <w:t xml:space="preserve"> the South Australian Government used the establishment of the ACNC registration and reporting framework to abolish the need for separate annual reports to the state regulator, and to abolish the need for a separate fundraising licence for ACNC registered charities. This speaks of a high level of confidence in the ACNC regulatory regime and resulted in useful red tape reduction for our sector.</w:t>
      </w:r>
      <w:r w:rsidR="00186234" w:rsidRPr="00186234">
        <w:rPr>
          <w:sz w:val="24"/>
          <w:lang w:val="en-US"/>
        </w:rPr>
        <w:t xml:space="preserve"> By contrast, in the Northern Territory we note that </w:t>
      </w:r>
      <w:proofErr w:type="spellStart"/>
      <w:r w:rsidR="00186234" w:rsidRPr="00186234">
        <w:rPr>
          <w:sz w:val="24"/>
          <w:lang w:val="en-US"/>
        </w:rPr>
        <w:t>organisations</w:t>
      </w:r>
      <w:proofErr w:type="spellEnd"/>
      <w:r w:rsidR="00186234" w:rsidRPr="00186234">
        <w:rPr>
          <w:sz w:val="24"/>
          <w:lang w:val="en-US"/>
        </w:rPr>
        <w:t xml:space="preserve"> incorporated under the NT Associations Act are required to report both to the Department of Business and the ACNC – effectively increasing the red tape in this jurisdiction. W</w:t>
      </w:r>
      <w:r w:rsidRPr="00186234">
        <w:rPr>
          <w:sz w:val="24"/>
          <w:lang w:val="en-US"/>
        </w:rPr>
        <w:t>e are confident that further efforts in the years ahead will continue to result in reductions in red tape for charities regulated by the ACNC.</w:t>
      </w:r>
      <w:r w:rsidR="00186234" w:rsidRPr="00186234">
        <w:rPr>
          <w:sz w:val="24"/>
          <w:lang w:val="en-US"/>
        </w:rPr>
        <w:t xml:space="preserve"> </w:t>
      </w:r>
    </w:p>
    <w:p w:rsidR="003E06FA" w:rsidRDefault="003E06FA" w:rsidP="003E06FA">
      <w:pPr>
        <w:rPr>
          <w:sz w:val="24"/>
          <w:lang w:val="en-US"/>
        </w:rPr>
      </w:pPr>
    </w:p>
    <w:p w:rsidR="003E06FA" w:rsidRPr="00BA3770" w:rsidRDefault="003E06FA" w:rsidP="003E06FA">
      <w:pPr>
        <w:pBdr>
          <w:top w:val="single" w:sz="4" w:space="1" w:color="auto"/>
          <w:left w:val="single" w:sz="4" w:space="4" w:color="auto"/>
          <w:bottom w:val="single" w:sz="4" w:space="1" w:color="auto"/>
          <w:right w:val="single" w:sz="4" w:space="4" w:color="auto"/>
        </w:pBdr>
        <w:rPr>
          <w:sz w:val="24"/>
          <w:lang w:val="en-US"/>
        </w:rPr>
      </w:pPr>
      <w:r w:rsidRPr="00BA3770">
        <w:rPr>
          <w:b/>
          <w:sz w:val="24"/>
          <w:lang w:val="en-US"/>
        </w:rPr>
        <w:t>RECOMMENDATION 1</w:t>
      </w:r>
      <w:r w:rsidRPr="00BA3770">
        <w:rPr>
          <w:sz w:val="24"/>
          <w:lang w:val="en-US"/>
        </w:rPr>
        <w:t xml:space="preserve"> – The approach taken by the ACNC to the performance of its regulatory functions over the past five years should form the basis of the approach going forward. </w:t>
      </w:r>
    </w:p>
    <w:p w:rsidR="003E06FA" w:rsidRPr="00B11B49" w:rsidRDefault="003E06FA" w:rsidP="003E06FA">
      <w:pPr>
        <w:rPr>
          <w:rFonts w:asciiTheme="majorHAnsi" w:eastAsiaTheme="majorEastAsia" w:hAnsiTheme="majorHAnsi" w:cstheme="majorBidi"/>
          <w:color w:val="365F91" w:themeColor="accent1" w:themeShade="BF"/>
          <w:sz w:val="24"/>
          <w:lang w:val="en-US"/>
        </w:rPr>
      </w:pPr>
    </w:p>
    <w:p w:rsidR="003E06FA" w:rsidRPr="00B11B49" w:rsidRDefault="003E06FA" w:rsidP="003E06FA">
      <w:pPr>
        <w:pStyle w:val="Heading3"/>
      </w:pPr>
      <w:r w:rsidRPr="00B11B49">
        <w:t>The ACNC’s submission should be supported, with some exceptions.</w:t>
      </w:r>
    </w:p>
    <w:p w:rsidR="003E06FA" w:rsidRPr="00B11B49" w:rsidRDefault="003E06FA" w:rsidP="003E06FA">
      <w:pPr>
        <w:rPr>
          <w:sz w:val="24"/>
          <w:lang w:val="en-US"/>
        </w:rPr>
      </w:pPr>
      <w:r w:rsidRPr="00B11B49">
        <w:rPr>
          <w:sz w:val="24"/>
          <w:lang w:val="en-US"/>
        </w:rPr>
        <w:t>The COSS Network has reviewed the ACNC’s submission to this enquiry, and largely agree</w:t>
      </w:r>
      <w:r w:rsidR="00943387">
        <w:rPr>
          <w:sz w:val="24"/>
          <w:lang w:val="en-US"/>
        </w:rPr>
        <w:t>s</w:t>
      </w:r>
      <w:r w:rsidRPr="00B11B49">
        <w:rPr>
          <w:sz w:val="24"/>
          <w:lang w:val="en-US"/>
        </w:rPr>
        <w:t xml:space="preserve"> with the recommendations. That said, there are </w:t>
      </w:r>
      <w:r>
        <w:rPr>
          <w:sz w:val="24"/>
          <w:lang w:val="en-US"/>
        </w:rPr>
        <w:t>two</w:t>
      </w:r>
      <w:r w:rsidRPr="00B11B49">
        <w:rPr>
          <w:sz w:val="24"/>
          <w:lang w:val="en-US"/>
        </w:rPr>
        <w:t xml:space="preserve"> recommendations that cannot be supported and should </w:t>
      </w:r>
      <w:r>
        <w:rPr>
          <w:sz w:val="24"/>
          <w:lang w:val="en-US"/>
        </w:rPr>
        <w:t>be rejected</w:t>
      </w:r>
      <w:r w:rsidRPr="00B11B49">
        <w:rPr>
          <w:sz w:val="24"/>
          <w:lang w:val="en-US"/>
        </w:rPr>
        <w:t xml:space="preserve">. Recommendations that should be </w:t>
      </w:r>
      <w:r>
        <w:rPr>
          <w:sz w:val="24"/>
          <w:lang w:val="en-US"/>
        </w:rPr>
        <w:t>rejected</w:t>
      </w:r>
      <w:r w:rsidRPr="00B11B49">
        <w:rPr>
          <w:sz w:val="24"/>
          <w:lang w:val="en-US"/>
        </w:rPr>
        <w:t xml:space="preserve"> include:</w:t>
      </w:r>
    </w:p>
    <w:p w:rsidR="003E06FA" w:rsidRPr="00B11B49" w:rsidRDefault="003E06FA" w:rsidP="003E06FA">
      <w:pPr>
        <w:rPr>
          <w:rFonts w:cstheme="minorHAnsi"/>
          <w:b/>
          <w:sz w:val="24"/>
          <w:lang w:val="en-US"/>
        </w:rPr>
      </w:pPr>
      <w:r w:rsidRPr="00B11B49">
        <w:rPr>
          <w:rFonts w:cstheme="minorHAnsi"/>
          <w:b/>
          <w:sz w:val="24"/>
          <w:lang w:val="en-US"/>
        </w:rPr>
        <w:t>1. The recommendation to amend the objects of the Act to add two further objects, namely:</w:t>
      </w:r>
    </w:p>
    <w:p w:rsidR="003E06FA" w:rsidRPr="00B11B49" w:rsidRDefault="003E06FA" w:rsidP="003E06FA">
      <w:pPr>
        <w:autoSpaceDE w:val="0"/>
        <w:autoSpaceDN w:val="0"/>
        <w:adjustRightInd w:val="0"/>
        <w:spacing w:after="0"/>
        <w:rPr>
          <w:rFonts w:cstheme="minorHAnsi"/>
          <w:sz w:val="24"/>
        </w:rPr>
      </w:pPr>
      <w:r w:rsidRPr="00B11B49">
        <w:rPr>
          <w:rFonts w:cstheme="minorHAnsi"/>
          <w:sz w:val="24"/>
        </w:rPr>
        <w:t>(a) To promote the effective use of the resources of not-for-profit entities; and</w:t>
      </w:r>
    </w:p>
    <w:p w:rsidR="003E06FA" w:rsidRPr="00B11B49" w:rsidRDefault="003E06FA" w:rsidP="003E06FA">
      <w:pPr>
        <w:autoSpaceDE w:val="0"/>
        <w:autoSpaceDN w:val="0"/>
        <w:adjustRightInd w:val="0"/>
        <w:spacing w:after="0"/>
        <w:rPr>
          <w:rFonts w:cstheme="minorHAnsi"/>
          <w:sz w:val="24"/>
        </w:rPr>
      </w:pPr>
      <w:r w:rsidRPr="00B11B49">
        <w:rPr>
          <w:rFonts w:cstheme="minorHAnsi"/>
          <w:sz w:val="24"/>
        </w:rPr>
        <w:lastRenderedPageBreak/>
        <w:t>(b) To enhance the accountability of not-for-profit entities to donors, beneficiaries and the public</w:t>
      </w:r>
      <w:r w:rsidR="003D5BC9">
        <w:rPr>
          <w:rFonts w:cstheme="minorHAnsi"/>
          <w:sz w:val="24"/>
        </w:rPr>
        <w:t>.</w:t>
      </w:r>
    </w:p>
    <w:p w:rsidR="00186234" w:rsidRDefault="00186234" w:rsidP="00186234">
      <w:pPr>
        <w:spacing w:before="0" w:after="0"/>
        <w:rPr>
          <w:rFonts w:cstheme="minorHAnsi"/>
          <w:sz w:val="24"/>
        </w:rPr>
      </w:pPr>
    </w:p>
    <w:p w:rsidR="00514E5E" w:rsidRPr="006925F0" w:rsidRDefault="003E06FA" w:rsidP="00186234">
      <w:pPr>
        <w:spacing w:before="0" w:after="0"/>
        <w:rPr>
          <w:sz w:val="24"/>
        </w:rPr>
      </w:pPr>
      <w:r w:rsidRPr="00186234">
        <w:rPr>
          <w:rFonts w:cstheme="minorHAnsi"/>
          <w:sz w:val="24"/>
        </w:rPr>
        <w:t>The ACNC makes little if any argument in support of these additional objects. The COSS Network considers their addition to the Act to be unwise. It is not the role of the regulator to oversee the effective use of resources by charities and not-for-profit entities. These decisions and assessments</w:t>
      </w:r>
      <w:r w:rsidR="008729DC" w:rsidRPr="00186234">
        <w:rPr>
          <w:rFonts w:cstheme="minorHAnsi"/>
          <w:sz w:val="24"/>
        </w:rPr>
        <w:t xml:space="preserve"> are best made by organisations and</w:t>
      </w:r>
      <w:r w:rsidRPr="00186234">
        <w:rPr>
          <w:rFonts w:cstheme="minorHAnsi"/>
          <w:sz w:val="24"/>
        </w:rPr>
        <w:t xml:space="preserve"> their governing bodies </w:t>
      </w:r>
      <w:r w:rsidR="008729DC" w:rsidRPr="00186234">
        <w:rPr>
          <w:rFonts w:cstheme="minorHAnsi"/>
          <w:sz w:val="24"/>
        </w:rPr>
        <w:t>in consultation with</w:t>
      </w:r>
      <w:r w:rsidRPr="00186234">
        <w:rPr>
          <w:rFonts w:cstheme="minorHAnsi"/>
          <w:sz w:val="24"/>
        </w:rPr>
        <w:t xml:space="preserve"> their donors and beneficiaries. The regulator has neither the imperative </w:t>
      </w:r>
      <w:r w:rsidR="008729DC" w:rsidRPr="00186234">
        <w:rPr>
          <w:rFonts w:cstheme="minorHAnsi"/>
          <w:sz w:val="24"/>
        </w:rPr>
        <w:t>n</w:t>
      </w:r>
      <w:r w:rsidRPr="00186234">
        <w:rPr>
          <w:rFonts w:cstheme="minorHAnsi"/>
          <w:sz w:val="24"/>
        </w:rPr>
        <w:t>or the resources to undertake this analysis</w:t>
      </w:r>
      <w:r w:rsidR="00BA3770">
        <w:rPr>
          <w:rFonts w:cstheme="minorHAnsi"/>
          <w:sz w:val="24"/>
        </w:rPr>
        <w:t>,</w:t>
      </w:r>
      <w:r w:rsidRPr="00186234">
        <w:rPr>
          <w:rFonts w:cstheme="minorHAnsi"/>
          <w:sz w:val="24"/>
        </w:rPr>
        <w:t xml:space="preserve"> and this change in focus would distract from the regulator</w:t>
      </w:r>
      <w:r w:rsidR="00BA3770">
        <w:rPr>
          <w:rFonts w:cstheme="minorHAnsi"/>
          <w:sz w:val="24"/>
        </w:rPr>
        <w:t>’</w:t>
      </w:r>
      <w:r w:rsidRPr="00186234">
        <w:rPr>
          <w:rFonts w:cstheme="minorHAnsi"/>
          <w:sz w:val="24"/>
        </w:rPr>
        <w:t>s other important functions.</w:t>
      </w:r>
      <w:r w:rsidR="00514E5E" w:rsidRPr="00186234">
        <w:rPr>
          <w:rFonts w:cstheme="minorHAnsi"/>
          <w:sz w:val="24"/>
        </w:rPr>
        <w:t xml:space="preserve"> </w:t>
      </w:r>
      <w:r w:rsidR="00514E5E" w:rsidRPr="00186234">
        <w:rPr>
          <w:sz w:val="24"/>
        </w:rPr>
        <w:t>Without significant additional resources to measure effectiveness, the ACNC could be reduced to judging charities on the basis of administrative or ‘back office’ costs</w:t>
      </w:r>
      <w:r w:rsidR="00A416BC">
        <w:rPr>
          <w:sz w:val="24"/>
        </w:rPr>
        <w:t xml:space="preserve"> or another crude indicator. We note that ‘effective’ is not defined in the proposed new objects, and is therefore amenable to various interpretations. This would introduce an unhelpful element of uncertainty into the Act.  </w:t>
      </w:r>
    </w:p>
    <w:p w:rsidR="00186234" w:rsidRPr="00186234" w:rsidRDefault="00186234" w:rsidP="00186234">
      <w:pPr>
        <w:spacing w:before="0" w:after="0"/>
        <w:rPr>
          <w:rFonts w:ascii="Calibri" w:hAnsi="Calibri"/>
          <w:bCs w:val="0"/>
          <w:sz w:val="24"/>
        </w:rPr>
      </w:pPr>
    </w:p>
    <w:p w:rsidR="003E06FA" w:rsidRPr="00BA3770" w:rsidRDefault="003E06FA" w:rsidP="003E06F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4"/>
        </w:rPr>
      </w:pPr>
      <w:r w:rsidRPr="00BA3770">
        <w:rPr>
          <w:rFonts w:cstheme="minorHAnsi"/>
          <w:b/>
          <w:sz w:val="24"/>
        </w:rPr>
        <w:t>RECOMMENDATION 2</w:t>
      </w:r>
      <w:r w:rsidRPr="00BA3770">
        <w:rPr>
          <w:rFonts w:cstheme="minorHAnsi"/>
          <w:sz w:val="24"/>
        </w:rPr>
        <w:t xml:space="preserve"> – Retain the current objects of the Act, and reject the ACNC’s proposal to insert new objects.</w:t>
      </w:r>
    </w:p>
    <w:p w:rsidR="003E06FA" w:rsidRDefault="003E06FA" w:rsidP="003E06FA">
      <w:pPr>
        <w:autoSpaceDE w:val="0"/>
        <w:autoSpaceDN w:val="0"/>
        <w:adjustRightInd w:val="0"/>
        <w:spacing w:after="0"/>
        <w:rPr>
          <w:rFonts w:cstheme="minorHAnsi"/>
          <w:b/>
          <w:sz w:val="24"/>
        </w:rPr>
      </w:pPr>
    </w:p>
    <w:p w:rsidR="003E06FA" w:rsidRPr="00292CC7" w:rsidRDefault="003E06FA" w:rsidP="003E06FA">
      <w:pPr>
        <w:autoSpaceDE w:val="0"/>
        <w:autoSpaceDN w:val="0"/>
        <w:adjustRightInd w:val="0"/>
        <w:spacing w:after="0"/>
        <w:rPr>
          <w:rFonts w:cstheme="minorHAnsi"/>
          <w:b/>
          <w:sz w:val="24"/>
        </w:rPr>
      </w:pPr>
      <w:r w:rsidRPr="00292CC7">
        <w:rPr>
          <w:rFonts w:cstheme="minorHAnsi"/>
          <w:b/>
          <w:sz w:val="24"/>
        </w:rPr>
        <w:t>2. The Secrecy Provisions</w:t>
      </w:r>
    </w:p>
    <w:p w:rsidR="003E06FA" w:rsidRDefault="003E06FA" w:rsidP="003E06FA">
      <w:pPr>
        <w:autoSpaceDE w:val="0"/>
        <w:autoSpaceDN w:val="0"/>
        <w:adjustRightInd w:val="0"/>
        <w:spacing w:after="0"/>
        <w:rPr>
          <w:rFonts w:cstheme="minorHAnsi"/>
          <w:sz w:val="24"/>
        </w:rPr>
      </w:pPr>
      <w:r w:rsidRPr="00292CC7">
        <w:rPr>
          <w:rFonts w:cstheme="minorHAnsi"/>
          <w:sz w:val="24"/>
        </w:rPr>
        <w:t xml:space="preserve">The ACNC has </w:t>
      </w:r>
      <w:r w:rsidR="003D5BC9">
        <w:rPr>
          <w:rFonts w:cstheme="minorHAnsi"/>
          <w:sz w:val="24"/>
        </w:rPr>
        <w:t>recommended</w:t>
      </w:r>
      <w:r w:rsidRPr="00292CC7">
        <w:rPr>
          <w:rFonts w:cstheme="minorHAnsi"/>
          <w:sz w:val="24"/>
        </w:rPr>
        <w:t xml:space="preserve"> that the secrecy provisions be amended to allow the </w:t>
      </w:r>
      <w:r w:rsidRPr="001A5379">
        <w:rPr>
          <w:rFonts w:cstheme="minorHAnsi"/>
          <w:sz w:val="24"/>
        </w:rPr>
        <w:t xml:space="preserve">Commissioner discretion to publish ACNC information, make public comment on a range of matters, enable data sharing to facilitate data matching, research or red tape reduction, and proposes changes on how and when protected. These changes are largely uncontroversial, </w:t>
      </w:r>
      <w:r>
        <w:rPr>
          <w:rFonts w:cstheme="minorHAnsi"/>
          <w:sz w:val="24"/>
        </w:rPr>
        <w:t xml:space="preserve">and </w:t>
      </w:r>
      <w:r w:rsidR="009A7EA2">
        <w:rPr>
          <w:rFonts w:cstheme="minorHAnsi"/>
          <w:sz w:val="24"/>
        </w:rPr>
        <w:t xml:space="preserve">are </w:t>
      </w:r>
      <w:r>
        <w:rPr>
          <w:rFonts w:cstheme="minorHAnsi"/>
          <w:sz w:val="24"/>
        </w:rPr>
        <w:t>supported by the COSS Network</w:t>
      </w:r>
      <w:r w:rsidR="009A7EA2">
        <w:rPr>
          <w:rFonts w:cstheme="minorHAnsi"/>
          <w:sz w:val="24"/>
        </w:rPr>
        <w:t>. H</w:t>
      </w:r>
      <w:r w:rsidRPr="001A5379">
        <w:rPr>
          <w:rFonts w:cstheme="minorHAnsi"/>
          <w:sz w:val="24"/>
        </w:rPr>
        <w:t>owever</w:t>
      </w:r>
      <w:r w:rsidR="009A7EA2">
        <w:rPr>
          <w:rFonts w:cstheme="minorHAnsi"/>
          <w:sz w:val="24"/>
        </w:rPr>
        <w:t>,</w:t>
      </w:r>
      <w:r w:rsidRPr="001A5379">
        <w:rPr>
          <w:rFonts w:cstheme="minorHAnsi"/>
          <w:sz w:val="24"/>
        </w:rPr>
        <w:t xml:space="preserve"> the pr</w:t>
      </w:r>
      <w:r w:rsidR="009A7EA2">
        <w:rPr>
          <w:rFonts w:cstheme="minorHAnsi"/>
          <w:sz w:val="24"/>
        </w:rPr>
        <w:t>oposal to amend Subdivision 150</w:t>
      </w:r>
      <w:r w:rsidRPr="001A5379">
        <w:rPr>
          <w:rFonts w:cstheme="minorHAnsi"/>
          <w:sz w:val="24"/>
        </w:rPr>
        <w:t xml:space="preserve">C of the ACNC Act to </w:t>
      </w:r>
      <w:r w:rsidR="00BA3770">
        <w:rPr>
          <w:rFonts w:cstheme="minorHAnsi"/>
          <w:sz w:val="24"/>
        </w:rPr>
        <w:t>give</w:t>
      </w:r>
      <w:r w:rsidRPr="001A5379">
        <w:rPr>
          <w:rFonts w:cstheme="minorHAnsi"/>
          <w:sz w:val="24"/>
        </w:rPr>
        <w:t xml:space="preserve"> ACNC officers </w:t>
      </w:r>
      <w:r w:rsidR="00BA3770">
        <w:rPr>
          <w:rFonts w:cstheme="minorHAnsi"/>
          <w:sz w:val="24"/>
        </w:rPr>
        <w:t>authorisation</w:t>
      </w:r>
      <w:r w:rsidRPr="001A5379">
        <w:rPr>
          <w:rFonts w:cstheme="minorHAnsi"/>
          <w:sz w:val="24"/>
        </w:rPr>
        <w:t xml:space="preserve"> to disclose protected ACNC information</w:t>
      </w:r>
      <w:r w:rsidR="00BA3770">
        <w:rPr>
          <w:rFonts w:cstheme="minorHAnsi"/>
          <w:sz w:val="24"/>
        </w:rPr>
        <w:t>,</w:t>
      </w:r>
      <w:r w:rsidRPr="001A5379">
        <w:rPr>
          <w:rFonts w:cstheme="minorHAnsi"/>
          <w:sz w:val="24"/>
        </w:rPr>
        <w:t xml:space="preserve"> for the purpose of making a public comment or publishing information about the Commissioner’s regulatory activities when it is in the public interest to do so</w:t>
      </w:r>
      <w:r w:rsidR="00BA3770">
        <w:rPr>
          <w:rFonts w:cstheme="minorHAnsi"/>
          <w:sz w:val="24"/>
        </w:rPr>
        <w:t>,</w:t>
      </w:r>
      <w:r w:rsidRPr="001A5379">
        <w:rPr>
          <w:rFonts w:cstheme="minorHAnsi"/>
          <w:sz w:val="24"/>
        </w:rPr>
        <w:t xml:space="preserve"> is considered problematic. The ACNC indicates that</w:t>
      </w:r>
      <w:r w:rsidR="00BA3770">
        <w:rPr>
          <w:rFonts w:cstheme="minorHAnsi"/>
          <w:sz w:val="24"/>
        </w:rPr>
        <w:t>,</w:t>
      </w:r>
      <w:r w:rsidRPr="001A5379">
        <w:rPr>
          <w:rFonts w:cstheme="minorHAnsi"/>
          <w:sz w:val="24"/>
        </w:rPr>
        <w:t xml:space="preserve"> specifically, this recommendation is focused on allowing the ACNC to confirm that an investigation has been commenced, disclose action that the ACNC has taken or is proposing to take in relation to a registered charity or a responsible person and disclose a regulatory</w:t>
      </w:r>
      <w:r>
        <w:rPr>
          <w:rFonts w:cstheme="minorHAnsi"/>
          <w:sz w:val="24"/>
        </w:rPr>
        <w:t xml:space="preserve"> </w:t>
      </w:r>
      <w:r w:rsidRPr="001A5379">
        <w:rPr>
          <w:rFonts w:cstheme="minorHAnsi"/>
          <w:sz w:val="24"/>
        </w:rPr>
        <w:t>outcome (e.g. that the ACNC and a registered charity have entered into a compliance</w:t>
      </w:r>
      <w:r>
        <w:rPr>
          <w:rFonts w:cstheme="minorHAnsi"/>
          <w:sz w:val="24"/>
        </w:rPr>
        <w:t xml:space="preserve"> </w:t>
      </w:r>
      <w:r w:rsidRPr="001A5379">
        <w:rPr>
          <w:rFonts w:cstheme="minorHAnsi"/>
          <w:sz w:val="24"/>
        </w:rPr>
        <w:t>agreement or that the ACNC has provided regulatory guidance to a registered charity).</w:t>
      </w:r>
      <w:r>
        <w:rPr>
          <w:rFonts w:cstheme="minorHAnsi"/>
          <w:sz w:val="24"/>
        </w:rPr>
        <w:t xml:space="preserve"> </w:t>
      </w:r>
    </w:p>
    <w:p w:rsidR="003E06FA" w:rsidRDefault="003E06FA" w:rsidP="003E06FA">
      <w:pPr>
        <w:autoSpaceDE w:val="0"/>
        <w:autoSpaceDN w:val="0"/>
        <w:adjustRightInd w:val="0"/>
        <w:spacing w:after="0"/>
        <w:rPr>
          <w:rFonts w:cstheme="minorHAnsi"/>
          <w:sz w:val="24"/>
        </w:rPr>
      </w:pPr>
    </w:p>
    <w:p w:rsidR="003E06FA" w:rsidRPr="001A5379" w:rsidRDefault="003E06FA" w:rsidP="003E06FA">
      <w:pPr>
        <w:autoSpaceDE w:val="0"/>
        <w:autoSpaceDN w:val="0"/>
        <w:adjustRightInd w:val="0"/>
        <w:spacing w:after="0"/>
        <w:rPr>
          <w:rFonts w:cstheme="minorHAnsi"/>
          <w:sz w:val="24"/>
        </w:rPr>
      </w:pPr>
      <w:r>
        <w:rPr>
          <w:rFonts w:cstheme="minorHAnsi"/>
          <w:sz w:val="24"/>
        </w:rPr>
        <w:t xml:space="preserve">The provisions of Subdivision 150C are an important protection for charities that are under investigation. They contribute to ensuring natural justice and procedural fairness for an organisation under investigation, and ensure that their reputation is preserved until an outcome has been determined. The COSS Network considers that these provisions should be preserved to ensure that investigations remain confidential until they are concluded. </w:t>
      </w:r>
    </w:p>
    <w:p w:rsidR="003E06FA" w:rsidRDefault="003E06FA" w:rsidP="003E06FA">
      <w:pPr>
        <w:autoSpaceDE w:val="0"/>
        <w:autoSpaceDN w:val="0"/>
        <w:adjustRightInd w:val="0"/>
        <w:spacing w:after="0"/>
        <w:rPr>
          <w:rFonts w:cstheme="minorHAnsi"/>
          <w:sz w:val="24"/>
        </w:rPr>
      </w:pPr>
    </w:p>
    <w:p w:rsidR="003E06FA" w:rsidRPr="00BA3770" w:rsidRDefault="003E06FA" w:rsidP="003E06FA">
      <w:pPr>
        <w:pBdr>
          <w:top w:val="single" w:sz="4" w:space="1" w:color="auto"/>
          <w:left w:val="single" w:sz="4" w:space="4" w:color="auto"/>
          <w:bottom w:val="single" w:sz="4" w:space="1" w:color="auto"/>
          <w:right w:val="single" w:sz="4" w:space="4" w:color="auto"/>
        </w:pBdr>
        <w:autoSpaceDE w:val="0"/>
        <w:autoSpaceDN w:val="0"/>
        <w:adjustRightInd w:val="0"/>
        <w:spacing w:after="0"/>
        <w:rPr>
          <w:rFonts w:cstheme="minorHAnsi"/>
          <w:sz w:val="24"/>
        </w:rPr>
      </w:pPr>
      <w:r w:rsidRPr="00BA3770">
        <w:rPr>
          <w:rFonts w:cstheme="minorHAnsi"/>
          <w:b/>
          <w:sz w:val="24"/>
        </w:rPr>
        <w:t>RECOMMENDATION 3</w:t>
      </w:r>
      <w:r w:rsidRPr="00BA3770">
        <w:rPr>
          <w:rFonts w:cstheme="minorHAnsi"/>
          <w:sz w:val="24"/>
        </w:rPr>
        <w:t xml:space="preserve"> – Retain the secrecy protections at 150C for organisations that are under investigation by the ACNC</w:t>
      </w:r>
    </w:p>
    <w:p w:rsidR="003E06FA" w:rsidRPr="003E06FA" w:rsidRDefault="003E06FA" w:rsidP="003E06FA"/>
    <w:p w:rsidR="003E06FA" w:rsidRPr="00B11B49" w:rsidRDefault="003E06FA" w:rsidP="003E06FA">
      <w:pPr>
        <w:pStyle w:val="Heading3"/>
      </w:pPr>
      <w:r w:rsidRPr="00B11B49">
        <w:t xml:space="preserve">There are minor changes to the Act that would improve its operation, including by inserting a clause that ensures the independence of the NFP sector, </w:t>
      </w:r>
    </w:p>
    <w:p w:rsidR="003E06FA" w:rsidRPr="00B11B49" w:rsidRDefault="003E06FA" w:rsidP="003E06FA">
      <w:pPr>
        <w:rPr>
          <w:sz w:val="24"/>
          <w:lang w:val="en-US"/>
        </w:rPr>
      </w:pPr>
    </w:p>
    <w:p w:rsidR="003E06FA" w:rsidRPr="00B11B49" w:rsidRDefault="003E06FA" w:rsidP="003E06FA">
      <w:pPr>
        <w:rPr>
          <w:sz w:val="24"/>
        </w:rPr>
      </w:pPr>
      <w:r w:rsidRPr="00B11B49">
        <w:rPr>
          <w:sz w:val="24"/>
        </w:rPr>
        <w:t xml:space="preserve">Independence is a core principle of the NFP sector. Independence of the sector is acknowledged both in the objects of the ACNC </w:t>
      </w:r>
      <w:r>
        <w:rPr>
          <w:sz w:val="24"/>
        </w:rPr>
        <w:t>Act</w:t>
      </w:r>
      <w:r w:rsidRPr="00B11B49">
        <w:rPr>
          <w:sz w:val="24"/>
        </w:rPr>
        <w:t xml:space="preserve"> and in the </w:t>
      </w:r>
      <w:r>
        <w:rPr>
          <w:sz w:val="24"/>
        </w:rPr>
        <w:t xml:space="preserve">former </w:t>
      </w:r>
      <w:r w:rsidRPr="00B11B49">
        <w:rPr>
          <w:sz w:val="24"/>
        </w:rPr>
        <w:t>Assistant Treasurer, David Bradbury</w:t>
      </w:r>
      <w:r>
        <w:rPr>
          <w:sz w:val="24"/>
        </w:rPr>
        <w:t xml:space="preserve">’s second reading of the </w:t>
      </w:r>
      <w:r w:rsidR="007462D1">
        <w:rPr>
          <w:sz w:val="24"/>
        </w:rPr>
        <w:t>Act</w:t>
      </w:r>
      <w:r w:rsidRPr="00B11B49">
        <w:rPr>
          <w:sz w:val="24"/>
        </w:rPr>
        <w:t xml:space="preserve">, in which he states that: </w:t>
      </w:r>
    </w:p>
    <w:p w:rsidR="003E06FA" w:rsidRPr="006925F0" w:rsidRDefault="003E06FA" w:rsidP="003E06FA">
      <w:pPr>
        <w:rPr>
          <w:i/>
          <w:sz w:val="24"/>
        </w:rPr>
      </w:pPr>
      <w:r w:rsidRPr="006925F0">
        <w:rPr>
          <w:i/>
          <w:sz w:val="24"/>
        </w:rPr>
        <w:t xml:space="preserve">“The government is dedicated to supporting a strong, vibrant, diverse and independent NFP sector. We believe that a new national regulator must protect this independence, which allows NFP entities to make their own decisions on how to best meet their mission without undue influence and control from the Commonwealth Government and its agencies.” </w:t>
      </w:r>
    </w:p>
    <w:p w:rsidR="002D3803" w:rsidRDefault="003E06FA" w:rsidP="003E06FA">
      <w:pPr>
        <w:rPr>
          <w:sz w:val="24"/>
        </w:rPr>
      </w:pPr>
      <w:r w:rsidRPr="00B11B49">
        <w:rPr>
          <w:sz w:val="24"/>
        </w:rPr>
        <w:t xml:space="preserve">This principle must be applied in terms </w:t>
      </w:r>
      <w:r w:rsidR="002D3803">
        <w:rPr>
          <w:sz w:val="24"/>
        </w:rPr>
        <w:t xml:space="preserve">of </w:t>
      </w:r>
      <w:r w:rsidRPr="00B11B49">
        <w:rPr>
          <w:sz w:val="24"/>
        </w:rPr>
        <w:t>preserving the sector’s diversity of structure, governance arrangements and activities, in particular public advocacy.</w:t>
      </w:r>
      <w:r w:rsidR="002D3803">
        <w:rPr>
          <w:sz w:val="24"/>
        </w:rPr>
        <w:t xml:space="preserve"> Advocacy is an integral part of how charities fulfil their charitable purpose, and an </w:t>
      </w:r>
      <w:r w:rsidR="002D3803" w:rsidRPr="002D3803">
        <w:rPr>
          <w:sz w:val="24"/>
        </w:rPr>
        <w:t>important part of the work that they perform in the communities in which they operate. Charities are</w:t>
      </w:r>
      <w:r w:rsidR="002D3803" w:rsidRPr="005E171B">
        <w:rPr>
          <w:sz w:val="24"/>
        </w:rPr>
        <w:t xml:space="preserve"> embedded in the community, understand the needs of their communities, and indeed their communities expect them to advocate on their behalf.</w:t>
      </w:r>
    </w:p>
    <w:p w:rsidR="003E06FA" w:rsidRPr="00B11B49" w:rsidRDefault="003E06FA" w:rsidP="003E06FA">
      <w:pPr>
        <w:rPr>
          <w:sz w:val="24"/>
        </w:rPr>
      </w:pPr>
      <w:r w:rsidRPr="00B11B49">
        <w:rPr>
          <w:sz w:val="24"/>
        </w:rPr>
        <w:t>Preserving the independence of NFP entities can be challenging where, typically, a Government monopsony exists. The Government monopsony in social service delivery limits the capacity of NFP entities to conduct genuine contract negotiations with the Government. This has led to both an increase in the reporting and administrative obligations placed on NFP entities as well as terms and conditions which have limited the capacity of entities to undertake advocacy (commonly referred to as a “gag” clauses).</w:t>
      </w:r>
    </w:p>
    <w:p w:rsidR="003E06FA" w:rsidRPr="009C7B27" w:rsidRDefault="003E06FA" w:rsidP="003E06FA">
      <w:pPr>
        <w:rPr>
          <w:sz w:val="24"/>
        </w:rPr>
      </w:pPr>
      <w:r w:rsidRPr="009C7B27">
        <w:rPr>
          <w:sz w:val="24"/>
        </w:rPr>
        <w:t xml:space="preserve">To better protect the independence of the NFP sector we suggest an amendment to the ACNC Act with wording to the following effect: </w:t>
      </w:r>
    </w:p>
    <w:p w:rsidR="003E06FA" w:rsidRPr="006925F0" w:rsidRDefault="003E06FA" w:rsidP="003E06FA">
      <w:pPr>
        <w:rPr>
          <w:i/>
          <w:sz w:val="24"/>
        </w:rPr>
      </w:pPr>
      <w:r w:rsidRPr="006925F0">
        <w:rPr>
          <w:i/>
          <w:sz w:val="24"/>
        </w:rPr>
        <w:t xml:space="preserve">Subdivision 205-C – Other concepts </w:t>
      </w:r>
    </w:p>
    <w:p w:rsidR="003E06FA" w:rsidRPr="006925F0" w:rsidRDefault="003E06FA" w:rsidP="003E06FA">
      <w:pPr>
        <w:rPr>
          <w:i/>
          <w:sz w:val="24"/>
        </w:rPr>
      </w:pPr>
      <w:r w:rsidRPr="006925F0">
        <w:rPr>
          <w:i/>
          <w:sz w:val="24"/>
        </w:rPr>
        <w:t xml:space="preserve">Insert 205-41 Independence of the NFP Sector: </w:t>
      </w:r>
    </w:p>
    <w:p w:rsidR="003E06FA" w:rsidRPr="006925F0" w:rsidRDefault="003E06FA" w:rsidP="003E06FA">
      <w:pPr>
        <w:rPr>
          <w:i/>
          <w:sz w:val="24"/>
        </w:rPr>
      </w:pPr>
      <w:r w:rsidRPr="006925F0">
        <w:rPr>
          <w:i/>
          <w:sz w:val="24"/>
        </w:rPr>
        <w:t xml:space="preserve">Independence of the sector means that NFP entities are autonomous entities subject to the direction and control of their Boards or Governance </w:t>
      </w:r>
      <w:proofErr w:type="gramStart"/>
      <w:r w:rsidRPr="006925F0">
        <w:rPr>
          <w:i/>
          <w:sz w:val="24"/>
        </w:rPr>
        <w:t>body(</w:t>
      </w:r>
      <w:proofErr w:type="spellStart"/>
      <w:proofErr w:type="gramEnd"/>
      <w:r w:rsidRPr="006925F0">
        <w:rPr>
          <w:i/>
          <w:sz w:val="24"/>
        </w:rPr>
        <w:t>ies</w:t>
      </w:r>
      <w:proofErr w:type="spellEnd"/>
      <w:r w:rsidRPr="006925F0">
        <w:rPr>
          <w:i/>
          <w:sz w:val="24"/>
        </w:rPr>
        <w:t>). The independence of an NFP entity, including in relation to advocacy, cannot be set aside, limited or controlled by condition of direct or indirect Government funding</w:t>
      </w:r>
      <w:r w:rsidR="003A6D49" w:rsidRPr="006925F0">
        <w:rPr>
          <w:i/>
          <w:sz w:val="24"/>
        </w:rPr>
        <w:t>.</w:t>
      </w:r>
    </w:p>
    <w:p w:rsidR="003A6D49" w:rsidRDefault="003A6D49" w:rsidP="003E06FA">
      <w:pPr>
        <w:rPr>
          <w:sz w:val="24"/>
        </w:rPr>
      </w:pPr>
    </w:p>
    <w:p w:rsidR="003E06FA" w:rsidRPr="00BA3770" w:rsidRDefault="003E06FA" w:rsidP="003E06FA">
      <w:pPr>
        <w:pBdr>
          <w:top w:val="single" w:sz="4" w:space="1" w:color="auto"/>
          <w:left w:val="single" w:sz="4" w:space="4" w:color="auto"/>
          <w:bottom w:val="single" w:sz="4" w:space="1" w:color="auto"/>
          <w:right w:val="single" w:sz="4" w:space="4" w:color="auto"/>
        </w:pBdr>
        <w:rPr>
          <w:sz w:val="24"/>
          <w:lang w:val="en-US"/>
        </w:rPr>
      </w:pPr>
      <w:bookmarkStart w:id="0" w:name="_GoBack"/>
      <w:r w:rsidRPr="00BA3770">
        <w:rPr>
          <w:b/>
          <w:sz w:val="24"/>
          <w:lang w:val="en-US"/>
        </w:rPr>
        <w:t>RECOMMENDATION 4 –</w:t>
      </w:r>
      <w:r w:rsidRPr="00BA3770">
        <w:rPr>
          <w:sz w:val="24"/>
          <w:lang w:val="en-US"/>
        </w:rPr>
        <w:t xml:space="preserve"> Make an amendment to the Act to insert the concept of </w:t>
      </w:r>
      <w:r w:rsidR="008729DC" w:rsidRPr="00BA3770">
        <w:rPr>
          <w:sz w:val="24"/>
          <w:lang w:val="en-US"/>
        </w:rPr>
        <w:t xml:space="preserve">the </w:t>
      </w:r>
      <w:r w:rsidRPr="00BA3770">
        <w:rPr>
          <w:sz w:val="24"/>
          <w:lang w:val="en-US"/>
        </w:rPr>
        <w:t>“Independence of the NFP Sector”</w:t>
      </w:r>
    </w:p>
    <w:bookmarkEnd w:id="0"/>
    <w:p w:rsidR="003105B2" w:rsidRPr="003105B2" w:rsidRDefault="003105B2" w:rsidP="003105B2"/>
    <w:sectPr w:rsidR="003105B2" w:rsidRPr="003105B2" w:rsidSect="00DF44E4">
      <w:headerReference w:type="default" r:id="rId8"/>
      <w:footerReference w:type="default" r:id="rId9"/>
      <w:headerReference w:type="first" r:id="rId10"/>
      <w:pgSz w:w="11907" w:h="16840" w:code="9"/>
      <w:pgMar w:top="1710" w:right="1440" w:bottom="990" w:left="1440" w:header="426" w:footer="1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033" w:rsidRDefault="00427033" w:rsidP="00174BFF">
      <w:r>
        <w:separator/>
      </w:r>
    </w:p>
    <w:p w:rsidR="00427033" w:rsidRDefault="00427033" w:rsidP="00174BFF"/>
    <w:p w:rsidR="00427033" w:rsidRDefault="00427033" w:rsidP="00174BFF"/>
    <w:p w:rsidR="00427033" w:rsidRDefault="00427033" w:rsidP="00174BFF"/>
    <w:p w:rsidR="00427033" w:rsidRDefault="00427033" w:rsidP="00174BFF"/>
  </w:endnote>
  <w:endnote w:type="continuationSeparator" w:id="0">
    <w:p w:rsidR="00427033" w:rsidRDefault="00427033" w:rsidP="00174BFF">
      <w:r>
        <w:continuationSeparator/>
      </w:r>
    </w:p>
    <w:p w:rsidR="00427033" w:rsidRDefault="00427033" w:rsidP="00174BFF"/>
    <w:p w:rsidR="00427033" w:rsidRDefault="00427033" w:rsidP="00174BFF"/>
    <w:p w:rsidR="00427033" w:rsidRDefault="00427033" w:rsidP="00174BFF"/>
    <w:p w:rsidR="00427033" w:rsidRDefault="00427033" w:rsidP="00174B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halet-NewYorkNineteenSixty">
    <w:altName w:val="Arial"/>
    <w:panose1 w:val="00000000000000000000"/>
    <w:charset w:val="00"/>
    <w:family w:val="modern"/>
    <w:notTrueType/>
    <w:pitch w:val="variable"/>
    <w:sig w:usb0="00000001" w:usb1="5000004A" w:usb2="00000000" w:usb3="00000000" w:csb0="0000009F" w:csb1="00000000"/>
  </w:font>
  <w:font w:name="Arial">
    <w:panose1 w:val="020B0604020202020204"/>
    <w:charset w:val="00"/>
    <w:family w:val="swiss"/>
    <w:pitch w:val="variable"/>
    <w:sig w:usb0="E0002EFF" w:usb1="C0007843" w:usb2="00000009" w:usb3="00000000" w:csb0="000001FF" w:csb1="00000000"/>
  </w:font>
  <w:font w:name="Chalet-ParisNineteenSixty">
    <w:altName w:val="Arial"/>
    <w:panose1 w:val="00000000000000000000"/>
    <w:charset w:val="00"/>
    <w:family w:val="modern"/>
    <w:notTrueType/>
    <w:pitch w:val="variable"/>
    <w:sig w:usb0="800002AF" w:usb1="5000004A"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 w:name="DIN Light">
    <w:altName w:val="Sitka Small"/>
    <w:charset w:val="00"/>
    <w:family w:val="roman"/>
    <w:pitch w:val="variable"/>
    <w:sig w:usb0="00000003" w:usb1="00000000" w:usb2="00000000" w:usb3="00000000" w:csb0="00000001"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5B2" w:rsidRDefault="003105B2">
    <w:pPr>
      <w:pStyle w:val="Footer"/>
      <w:jc w:val="center"/>
    </w:pPr>
  </w:p>
  <w:p w:rsidR="003105B2" w:rsidRPr="0034393B" w:rsidRDefault="00BA3770">
    <w:pPr>
      <w:pStyle w:val="Footer"/>
      <w:jc w:val="center"/>
      <w:rPr>
        <w:sz w:val="18"/>
      </w:rPr>
    </w:pPr>
    <w:sdt>
      <w:sdtPr>
        <w:id w:val="-1341084022"/>
        <w:docPartObj>
          <w:docPartGallery w:val="Page Numbers (Bottom of Page)"/>
          <w:docPartUnique/>
        </w:docPartObj>
      </w:sdtPr>
      <w:sdtEndPr>
        <w:rPr>
          <w:noProof/>
          <w:sz w:val="18"/>
        </w:rPr>
      </w:sdtEndPr>
      <w:sdtContent>
        <w:r w:rsidR="003105B2" w:rsidRPr="0034393B">
          <w:rPr>
            <w:sz w:val="18"/>
          </w:rPr>
          <w:fldChar w:fldCharType="begin"/>
        </w:r>
        <w:r w:rsidR="003105B2" w:rsidRPr="0034393B">
          <w:rPr>
            <w:sz w:val="18"/>
          </w:rPr>
          <w:instrText xml:space="preserve"> PAGE   \* MERGEFORMAT </w:instrText>
        </w:r>
        <w:r w:rsidR="003105B2" w:rsidRPr="0034393B">
          <w:rPr>
            <w:sz w:val="18"/>
          </w:rPr>
          <w:fldChar w:fldCharType="separate"/>
        </w:r>
        <w:r>
          <w:rPr>
            <w:noProof/>
            <w:sz w:val="18"/>
          </w:rPr>
          <w:t>6</w:t>
        </w:r>
        <w:r w:rsidR="003105B2" w:rsidRPr="0034393B">
          <w:rPr>
            <w:noProof/>
            <w:sz w:val="18"/>
          </w:rPr>
          <w:fldChar w:fldCharType="end"/>
        </w:r>
      </w:sdtContent>
    </w:sdt>
  </w:p>
  <w:p w:rsidR="00AD1DEF" w:rsidRDefault="00AD1DEF" w:rsidP="0017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033" w:rsidRDefault="00427033" w:rsidP="00174BFF">
      <w:r>
        <w:separator/>
      </w:r>
    </w:p>
  </w:footnote>
  <w:footnote w:type="continuationSeparator" w:id="0">
    <w:p w:rsidR="00427033" w:rsidRDefault="00427033" w:rsidP="00174BFF">
      <w:r>
        <w:continuationSeparator/>
      </w:r>
    </w:p>
    <w:p w:rsidR="00427033" w:rsidRDefault="00427033" w:rsidP="00174BFF"/>
    <w:p w:rsidR="00427033" w:rsidRDefault="00427033" w:rsidP="00174BFF"/>
    <w:p w:rsidR="00427033" w:rsidRDefault="00427033" w:rsidP="00174BFF"/>
    <w:p w:rsidR="00427033" w:rsidRDefault="00427033" w:rsidP="00174B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DEF" w:rsidRDefault="0034393B" w:rsidP="0034393B">
    <w:pPr>
      <w:pStyle w:val="Header"/>
      <w:jc w:val="center"/>
    </w:pPr>
    <w:r>
      <w:rPr>
        <w:rFonts w:ascii="Times New Roman"/>
        <w:noProof/>
        <w:sz w:val="20"/>
        <w:lang w:eastAsia="en-AU"/>
      </w:rPr>
      <w:drawing>
        <wp:inline distT="0" distB="0" distL="0" distR="0" wp14:anchorId="189E0FB8" wp14:editId="02CDBC8C">
          <wp:extent cx="3305175" cy="425340"/>
          <wp:effectExtent l="0" t="0" r="0" b="0"/>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365278" cy="43307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BFF" w:rsidRPr="003105B2" w:rsidRDefault="003105B2" w:rsidP="003105B2">
    <w:pPr>
      <w:pStyle w:val="Header"/>
    </w:pPr>
    <w:r>
      <w:rPr>
        <w:rFonts w:ascii="Times New Roman"/>
        <w:noProof/>
        <w:sz w:val="20"/>
        <w:lang w:eastAsia="en-AU"/>
      </w:rPr>
      <w:drawing>
        <wp:inline distT="0" distB="0" distL="0" distR="0" wp14:anchorId="13819866" wp14:editId="6DC0343B">
          <wp:extent cx="5719921" cy="736092"/>
          <wp:effectExtent l="0" t="0" r="0" b="0"/>
          <wp:docPr id="1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719921" cy="7360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9D0BC8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36AF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F3E0B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8E44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1A4E4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AA0DB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44AF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1C14A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C24D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9825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70639D"/>
    <w:multiLevelType w:val="hybridMultilevel"/>
    <w:tmpl w:val="9DC8AD6A"/>
    <w:lvl w:ilvl="0" w:tplc="0C09000F">
      <w:start w:val="1"/>
      <w:numFmt w:val="decimal"/>
      <w:lvlText w:val="%1."/>
      <w:lvlJc w:val="left"/>
      <w:pPr>
        <w:ind w:left="360" w:hanging="360"/>
      </w:pPr>
      <w:rPr>
        <w:rFonts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3FE2B36"/>
    <w:multiLevelType w:val="hybridMultilevel"/>
    <w:tmpl w:val="D4BE3040"/>
    <w:lvl w:ilvl="0" w:tplc="084A5A12">
      <w:start w:val="29"/>
      <w:numFmt w:val="bullet"/>
      <w:lvlText w:val="-"/>
      <w:lvlJc w:val="left"/>
      <w:pPr>
        <w:ind w:left="720" w:hanging="360"/>
      </w:pPr>
      <w:rPr>
        <w:rFonts w:ascii="DINOT" w:eastAsia="Times New Roman" w:hAnsi="DINO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55042F2"/>
    <w:multiLevelType w:val="multilevel"/>
    <w:tmpl w:val="09C41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BD0C77"/>
    <w:multiLevelType w:val="hybridMultilevel"/>
    <w:tmpl w:val="147C3A6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1C0D5D7F"/>
    <w:multiLevelType w:val="hybridMultilevel"/>
    <w:tmpl w:val="3D5677FE"/>
    <w:lvl w:ilvl="0" w:tplc="B94639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20035C2C"/>
    <w:multiLevelType w:val="hybridMultilevel"/>
    <w:tmpl w:val="9664F356"/>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20014FE"/>
    <w:multiLevelType w:val="hybridMultilevel"/>
    <w:tmpl w:val="F572B6DC"/>
    <w:lvl w:ilvl="0" w:tplc="D76A958C">
      <w:start w:val="1"/>
      <w:numFmt w:val="bullet"/>
      <w:lvlText w:val="+"/>
      <w:lvlJc w:val="left"/>
      <w:pPr>
        <w:ind w:left="360" w:hanging="360"/>
      </w:pPr>
      <w:rPr>
        <w:rFonts w:ascii="DINOT" w:hAnsi="DINOT"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25E1D36"/>
    <w:multiLevelType w:val="hybridMultilevel"/>
    <w:tmpl w:val="D2048D46"/>
    <w:lvl w:ilvl="0" w:tplc="23A25E72">
      <w:start w:val="1"/>
      <w:numFmt w:val="bullet"/>
      <w:lvlText w:val=""/>
      <w:lvlJc w:val="left"/>
      <w:pPr>
        <w:ind w:left="1140" w:hanging="360"/>
      </w:pPr>
      <w:rPr>
        <w:rFonts w:ascii="Symbol" w:hAnsi="Symbol" w:hint="default"/>
        <w:color w:val="C00000"/>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8" w15:restartNumberingAfterBreak="0">
    <w:nsid w:val="267F1214"/>
    <w:multiLevelType w:val="hybridMultilevel"/>
    <w:tmpl w:val="71AC47A6"/>
    <w:lvl w:ilvl="0" w:tplc="D76A958C">
      <w:start w:val="1"/>
      <w:numFmt w:val="bullet"/>
      <w:lvlText w:val="+"/>
      <w:lvlJc w:val="left"/>
      <w:pPr>
        <w:ind w:left="720" w:hanging="360"/>
      </w:pPr>
      <w:rPr>
        <w:rFonts w:ascii="DINOT" w:hAnsi="DINOT"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CEB7EB6"/>
    <w:multiLevelType w:val="hybridMultilevel"/>
    <w:tmpl w:val="17DA52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E6B6AC4"/>
    <w:multiLevelType w:val="hybridMultilevel"/>
    <w:tmpl w:val="2CA0477A"/>
    <w:lvl w:ilvl="0" w:tplc="1848FCC2">
      <w:start w:val="1"/>
      <w:numFmt w:val="bullet"/>
      <w:lvlText w:val="-"/>
      <w:lvlJc w:val="left"/>
      <w:pPr>
        <w:ind w:left="1140" w:hanging="360"/>
      </w:pPr>
      <w:rPr>
        <w:rFonts w:ascii="DINOT" w:eastAsia="Times New Roman" w:hAnsi="DINOT" w:cs="Times New Roman"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1" w15:restartNumberingAfterBreak="0">
    <w:nsid w:val="30597E24"/>
    <w:multiLevelType w:val="hybridMultilevel"/>
    <w:tmpl w:val="533C9CA8"/>
    <w:lvl w:ilvl="0" w:tplc="D76A958C">
      <w:start w:val="1"/>
      <w:numFmt w:val="bullet"/>
      <w:lvlText w:val="+"/>
      <w:lvlJc w:val="left"/>
      <w:pPr>
        <w:ind w:left="720" w:hanging="360"/>
      </w:pPr>
      <w:rPr>
        <w:rFonts w:ascii="DINOT" w:hAnsi="DINOT"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2A0C3C"/>
    <w:multiLevelType w:val="hybridMultilevel"/>
    <w:tmpl w:val="FBFA3162"/>
    <w:lvl w:ilvl="0" w:tplc="9B9E9C5E">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0A1B6A"/>
    <w:multiLevelType w:val="hybridMultilevel"/>
    <w:tmpl w:val="BD6A3BD4"/>
    <w:lvl w:ilvl="0" w:tplc="D76A958C">
      <w:start w:val="1"/>
      <w:numFmt w:val="bullet"/>
      <w:lvlText w:val="+"/>
      <w:lvlJc w:val="left"/>
      <w:pPr>
        <w:ind w:left="720" w:hanging="360"/>
      </w:pPr>
      <w:rPr>
        <w:rFonts w:ascii="DINOT" w:hAnsi="DINOT"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32181A"/>
    <w:multiLevelType w:val="multilevel"/>
    <w:tmpl w:val="3118C3D4"/>
    <w:lvl w:ilvl="0">
      <w:start w:val="1"/>
      <w:numFmt w:val="decimal"/>
      <w:lvlText w:val="%1"/>
      <w:lvlJc w:val="left"/>
      <w:pPr>
        <w:ind w:left="432" w:hanging="432"/>
      </w:pPr>
      <w:rPr>
        <w:rFonts w:hint="default"/>
      </w:rPr>
    </w:lvl>
    <w:lvl w:ilvl="1">
      <w:start w:val="1"/>
      <w:numFmt w:val="decimal"/>
      <w:lvlText w:val="%1.%2"/>
      <w:lvlJc w:val="left"/>
      <w:pPr>
        <w:ind w:left="718" w:hanging="576"/>
      </w:pPr>
      <w:rPr>
        <w:rFonts w:hint="default"/>
        <w:color w:val="C0000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3F32106F"/>
    <w:multiLevelType w:val="hybridMultilevel"/>
    <w:tmpl w:val="59684D1E"/>
    <w:lvl w:ilvl="0" w:tplc="23A25E72">
      <w:start w:val="1"/>
      <w:numFmt w:val="bullet"/>
      <w:lvlText w:val=""/>
      <w:lvlJc w:val="left"/>
      <w:pPr>
        <w:ind w:left="1140" w:hanging="360"/>
      </w:pPr>
      <w:rPr>
        <w:rFonts w:ascii="Symbol" w:hAnsi="Symbol" w:hint="default"/>
        <w:color w:val="C00000"/>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26" w15:restartNumberingAfterBreak="0">
    <w:nsid w:val="41E95344"/>
    <w:multiLevelType w:val="hybridMultilevel"/>
    <w:tmpl w:val="230E45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F54A34"/>
    <w:multiLevelType w:val="hybridMultilevel"/>
    <w:tmpl w:val="55983EE4"/>
    <w:lvl w:ilvl="0" w:tplc="15D6F4B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4BB3608A"/>
    <w:multiLevelType w:val="hybridMultilevel"/>
    <w:tmpl w:val="61A8D6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D184AB5"/>
    <w:multiLevelType w:val="hybridMultilevel"/>
    <w:tmpl w:val="884E9680"/>
    <w:lvl w:ilvl="0" w:tplc="D76A958C">
      <w:start w:val="1"/>
      <w:numFmt w:val="bullet"/>
      <w:lvlText w:val="+"/>
      <w:lvlJc w:val="left"/>
      <w:pPr>
        <w:ind w:left="360" w:hanging="360"/>
      </w:pPr>
      <w:rPr>
        <w:rFonts w:ascii="DINOT" w:hAnsi="DINOT"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09774FD"/>
    <w:multiLevelType w:val="hybridMultilevel"/>
    <w:tmpl w:val="9A6CB28E"/>
    <w:lvl w:ilvl="0" w:tplc="0409001B">
      <w:start w:val="1"/>
      <w:numFmt w:val="lowerRoman"/>
      <w:lvlText w:val="%1."/>
      <w:lvlJc w:val="righ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3147BF1"/>
    <w:multiLevelType w:val="hybridMultilevel"/>
    <w:tmpl w:val="305CB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37879F6"/>
    <w:multiLevelType w:val="hybridMultilevel"/>
    <w:tmpl w:val="68029EB4"/>
    <w:lvl w:ilvl="0" w:tplc="D76A958C">
      <w:start w:val="1"/>
      <w:numFmt w:val="bullet"/>
      <w:lvlText w:val="+"/>
      <w:lvlJc w:val="left"/>
      <w:pPr>
        <w:ind w:left="720" w:hanging="360"/>
      </w:pPr>
      <w:rPr>
        <w:rFonts w:ascii="DINOT" w:hAnsi="DINOT"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4C776E"/>
    <w:multiLevelType w:val="hybridMultilevel"/>
    <w:tmpl w:val="24F63464"/>
    <w:lvl w:ilvl="0" w:tplc="D76A958C">
      <w:start w:val="1"/>
      <w:numFmt w:val="bullet"/>
      <w:lvlText w:val="+"/>
      <w:lvlJc w:val="left"/>
      <w:pPr>
        <w:ind w:left="720" w:hanging="360"/>
      </w:pPr>
      <w:rPr>
        <w:rFonts w:ascii="DINOT" w:hAnsi="DINOT" w:hint="default"/>
        <w:color w:val="C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B77DF6"/>
    <w:multiLevelType w:val="hybridMultilevel"/>
    <w:tmpl w:val="322C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055F65"/>
    <w:multiLevelType w:val="hybridMultilevel"/>
    <w:tmpl w:val="C26076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5842871"/>
    <w:multiLevelType w:val="hybridMultilevel"/>
    <w:tmpl w:val="8E2C90CC"/>
    <w:lvl w:ilvl="0" w:tplc="1EA02024">
      <w:start w:val="22"/>
      <w:numFmt w:val="bullet"/>
      <w:lvlText w:val="-"/>
      <w:lvlJc w:val="left"/>
      <w:pPr>
        <w:ind w:left="720" w:hanging="360"/>
      </w:pPr>
      <w:rPr>
        <w:rFonts w:ascii="DINOT" w:eastAsia="Times New Roman" w:hAnsi="DINO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D97510"/>
    <w:multiLevelType w:val="hybridMultilevel"/>
    <w:tmpl w:val="8988A6B6"/>
    <w:lvl w:ilvl="0" w:tplc="D76A958C">
      <w:start w:val="1"/>
      <w:numFmt w:val="bullet"/>
      <w:lvlText w:val="+"/>
      <w:lvlJc w:val="left"/>
      <w:pPr>
        <w:ind w:left="360" w:hanging="360"/>
      </w:pPr>
      <w:rPr>
        <w:rFonts w:ascii="DINOT" w:hAnsi="DINOT" w:hint="default"/>
        <w:color w:val="C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7"/>
  </w:num>
  <w:num w:numId="13">
    <w:abstractNumId w:val="26"/>
  </w:num>
  <w:num w:numId="14">
    <w:abstractNumId w:val="28"/>
  </w:num>
  <w:num w:numId="15">
    <w:abstractNumId w:val="15"/>
  </w:num>
  <w:num w:numId="16">
    <w:abstractNumId w:val="22"/>
  </w:num>
  <w:num w:numId="17">
    <w:abstractNumId w:val="30"/>
  </w:num>
  <w:num w:numId="18">
    <w:abstractNumId w:val="32"/>
  </w:num>
  <w:num w:numId="19">
    <w:abstractNumId w:val="20"/>
  </w:num>
  <w:num w:numId="20">
    <w:abstractNumId w:val="14"/>
  </w:num>
  <w:num w:numId="21">
    <w:abstractNumId w:val="25"/>
  </w:num>
  <w:num w:numId="22">
    <w:abstractNumId w:val="17"/>
  </w:num>
  <w:num w:numId="23">
    <w:abstractNumId w:val="11"/>
  </w:num>
  <w:num w:numId="24">
    <w:abstractNumId w:val="29"/>
  </w:num>
  <w:num w:numId="25">
    <w:abstractNumId w:val="18"/>
  </w:num>
  <w:num w:numId="26">
    <w:abstractNumId w:val="31"/>
  </w:num>
  <w:num w:numId="27">
    <w:abstractNumId w:val="16"/>
  </w:num>
  <w:num w:numId="28">
    <w:abstractNumId w:val="36"/>
  </w:num>
  <w:num w:numId="29">
    <w:abstractNumId w:val="33"/>
  </w:num>
  <w:num w:numId="30">
    <w:abstractNumId w:val="21"/>
  </w:num>
  <w:num w:numId="31">
    <w:abstractNumId w:val="37"/>
  </w:num>
  <w:num w:numId="32">
    <w:abstractNumId w:val="23"/>
  </w:num>
  <w:num w:numId="33">
    <w:abstractNumId w:val="12"/>
  </w:num>
  <w:num w:numId="34">
    <w:abstractNumId w:val="35"/>
  </w:num>
  <w:num w:numId="35">
    <w:abstractNumId w:val="19"/>
  </w:num>
  <w:num w:numId="36">
    <w:abstractNumId w:val="10"/>
  </w:num>
  <w:num w:numId="37">
    <w:abstractNumId w:val="34"/>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o:colormru v:ext="edit" colors="#33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D9B"/>
    <w:rsid w:val="00001315"/>
    <w:rsid w:val="00002306"/>
    <w:rsid w:val="000034A5"/>
    <w:rsid w:val="0000489B"/>
    <w:rsid w:val="00006A63"/>
    <w:rsid w:val="000075F7"/>
    <w:rsid w:val="00010319"/>
    <w:rsid w:val="000112FF"/>
    <w:rsid w:val="00012263"/>
    <w:rsid w:val="0001248C"/>
    <w:rsid w:val="00013A32"/>
    <w:rsid w:val="000141F8"/>
    <w:rsid w:val="00015D66"/>
    <w:rsid w:val="0001601E"/>
    <w:rsid w:val="000160C6"/>
    <w:rsid w:val="00016530"/>
    <w:rsid w:val="000170AC"/>
    <w:rsid w:val="0001720C"/>
    <w:rsid w:val="000179B3"/>
    <w:rsid w:val="000201C6"/>
    <w:rsid w:val="000201DF"/>
    <w:rsid w:val="00020924"/>
    <w:rsid w:val="000214AC"/>
    <w:rsid w:val="00022727"/>
    <w:rsid w:val="00022C99"/>
    <w:rsid w:val="0002417E"/>
    <w:rsid w:val="00024E6D"/>
    <w:rsid w:val="000251ED"/>
    <w:rsid w:val="00025747"/>
    <w:rsid w:val="00025C2E"/>
    <w:rsid w:val="00025E74"/>
    <w:rsid w:val="00026BDA"/>
    <w:rsid w:val="00027CF5"/>
    <w:rsid w:val="00030A47"/>
    <w:rsid w:val="000322D9"/>
    <w:rsid w:val="0003305C"/>
    <w:rsid w:val="0003380B"/>
    <w:rsid w:val="000351E2"/>
    <w:rsid w:val="00037131"/>
    <w:rsid w:val="000401B1"/>
    <w:rsid w:val="00040BC0"/>
    <w:rsid w:val="0004177D"/>
    <w:rsid w:val="00042C34"/>
    <w:rsid w:val="00043301"/>
    <w:rsid w:val="00050161"/>
    <w:rsid w:val="00050EF1"/>
    <w:rsid w:val="000529EC"/>
    <w:rsid w:val="0005398F"/>
    <w:rsid w:val="0005672E"/>
    <w:rsid w:val="00057494"/>
    <w:rsid w:val="00060FC6"/>
    <w:rsid w:val="00061BA4"/>
    <w:rsid w:val="000624D7"/>
    <w:rsid w:val="0006318D"/>
    <w:rsid w:val="00066F0B"/>
    <w:rsid w:val="000710D2"/>
    <w:rsid w:val="00071FD5"/>
    <w:rsid w:val="00072EFE"/>
    <w:rsid w:val="00077754"/>
    <w:rsid w:val="00080DFB"/>
    <w:rsid w:val="00082F8A"/>
    <w:rsid w:val="0008381D"/>
    <w:rsid w:val="00083D50"/>
    <w:rsid w:val="0008490D"/>
    <w:rsid w:val="00084CE1"/>
    <w:rsid w:val="00085DA4"/>
    <w:rsid w:val="00086FEC"/>
    <w:rsid w:val="00090778"/>
    <w:rsid w:val="00090DB4"/>
    <w:rsid w:val="0009186C"/>
    <w:rsid w:val="00091984"/>
    <w:rsid w:val="00091C97"/>
    <w:rsid w:val="000924AB"/>
    <w:rsid w:val="0009260C"/>
    <w:rsid w:val="00093034"/>
    <w:rsid w:val="00093A37"/>
    <w:rsid w:val="00094732"/>
    <w:rsid w:val="0009610D"/>
    <w:rsid w:val="000971CF"/>
    <w:rsid w:val="000975E7"/>
    <w:rsid w:val="000A1377"/>
    <w:rsid w:val="000A6728"/>
    <w:rsid w:val="000B04C9"/>
    <w:rsid w:val="000B1146"/>
    <w:rsid w:val="000B2C13"/>
    <w:rsid w:val="000B6137"/>
    <w:rsid w:val="000C16A8"/>
    <w:rsid w:val="000C48E1"/>
    <w:rsid w:val="000C4F66"/>
    <w:rsid w:val="000C52E6"/>
    <w:rsid w:val="000C54BA"/>
    <w:rsid w:val="000C637C"/>
    <w:rsid w:val="000C642E"/>
    <w:rsid w:val="000D02A7"/>
    <w:rsid w:val="000D27D4"/>
    <w:rsid w:val="000D33C3"/>
    <w:rsid w:val="000D39A1"/>
    <w:rsid w:val="000D3BBB"/>
    <w:rsid w:val="000D3CD4"/>
    <w:rsid w:val="000D6198"/>
    <w:rsid w:val="000D6B11"/>
    <w:rsid w:val="000E1954"/>
    <w:rsid w:val="000E3EB0"/>
    <w:rsid w:val="000E7DEA"/>
    <w:rsid w:val="000F0E98"/>
    <w:rsid w:val="000F1851"/>
    <w:rsid w:val="000F1FB6"/>
    <w:rsid w:val="000F20D9"/>
    <w:rsid w:val="000F2309"/>
    <w:rsid w:val="000F2F91"/>
    <w:rsid w:val="000F438F"/>
    <w:rsid w:val="000F4DF7"/>
    <w:rsid w:val="000F6EBD"/>
    <w:rsid w:val="00101936"/>
    <w:rsid w:val="00101946"/>
    <w:rsid w:val="00102A7D"/>
    <w:rsid w:val="00102B69"/>
    <w:rsid w:val="00103B58"/>
    <w:rsid w:val="00103D10"/>
    <w:rsid w:val="0010448C"/>
    <w:rsid w:val="00105705"/>
    <w:rsid w:val="00106923"/>
    <w:rsid w:val="00106F3A"/>
    <w:rsid w:val="0011266E"/>
    <w:rsid w:val="00112C5D"/>
    <w:rsid w:val="001130DB"/>
    <w:rsid w:val="0011321E"/>
    <w:rsid w:val="00113C97"/>
    <w:rsid w:val="00113D76"/>
    <w:rsid w:val="0011477D"/>
    <w:rsid w:val="001170E3"/>
    <w:rsid w:val="001170ED"/>
    <w:rsid w:val="00117E79"/>
    <w:rsid w:val="00120704"/>
    <w:rsid w:val="00120E05"/>
    <w:rsid w:val="001213F0"/>
    <w:rsid w:val="00122781"/>
    <w:rsid w:val="00123C6F"/>
    <w:rsid w:val="00124467"/>
    <w:rsid w:val="00124933"/>
    <w:rsid w:val="001261D5"/>
    <w:rsid w:val="00130101"/>
    <w:rsid w:val="00131F7C"/>
    <w:rsid w:val="0013323F"/>
    <w:rsid w:val="001334FF"/>
    <w:rsid w:val="00134401"/>
    <w:rsid w:val="00134B1F"/>
    <w:rsid w:val="00134C4A"/>
    <w:rsid w:val="001350BB"/>
    <w:rsid w:val="00135797"/>
    <w:rsid w:val="00135F99"/>
    <w:rsid w:val="00136051"/>
    <w:rsid w:val="00137604"/>
    <w:rsid w:val="0013768C"/>
    <w:rsid w:val="00137EC2"/>
    <w:rsid w:val="00140BB6"/>
    <w:rsid w:val="001423BA"/>
    <w:rsid w:val="00142D20"/>
    <w:rsid w:val="001448B4"/>
    <w:rsid w:val="00145981"/>
    <w:rsid w:val="00147832"/>
    <w:rsid w:val="00150E0F"/>
    <w:rsid w:val="001510FE"/>
    <w:rsid w:val="001574E6"/>
    <w:rsid w:val="001614EA"/>
    <w:rsid w:val="00163588"/>
    <w:rsid w:val="00163694"/>
    <w:rsid w:val="001641BC"/>
    <w:rsid w:val="001651B4"/>
    <w:rsid w:val="00165327"/>
    <w:rsid w:val="00165451"/>
    <w:rsid w:val="00165A17"/>
    <w:rsid w:val="00165C69"/>
    <w:rsid w:val="001679DD"/>
    <w:rsid w:val="00167C8C"/>
    <w:rsid w:val="00170A5C"/>
    <w:rsid w:val="00171C42"/>
    <w:rsid w:val="0017214E"/>
    <w:rsid w:val="001733D2"/>
    <w:rsid w:val="00174BFF"/>
    <w:rsid w:val="00175A48"/>
    <w:rsid w:val="00181CF3"/>
    <w:rsid w:val="00182995"/>
    <w:rsid w:val="00183B85"/>
    <w:rsid w:val="00184D2F"/>
    <w:rsid w:val="00185F91"/>
    <w:rsid w:val="00186234"/>
    <w:rsid w:val="001918E2"/>
    <w:rsid w:val="00192C09"/>
    <w:rsid w:val="00195312"/>
    <w:rsid w:val="001A1329"/>
    <w:rsid w:val="001A15B5"/>
    <w:rsid w:val="001A287D"/>
    <w:rsid w:val="001A40C2"/>
    <w:rsid w:val="001B1ADB"/>
    <w:rsid w:val="001B1C3A"/>
    <w:rsid w:val="001B420F"/>
    <w:rsid w:val="001B4436"/>
    <w:rsid w:val="001B45B8"/>
    <w:rsid w:val="001B6916"/>
    <w:rsid w:val="001C0BBA"/>
    <w:rsid w:val="001C5227"/>
    <w:rsid w:val="001C65E6"/>
    <w:rsid w:val="001C6BC0"/>
    <w:rsid w:val="001C7243"/>
    <w:rsid w:val="001C7F84"/>
    <w:rsid w:val="001D2F70"/>
    <w:rsid w:val="001D3106"/>
    <w:rsid w:val="001D52A9"/>
    <w:rsid w:val="001D76D8"/>
    <w:rsid w:val="001E0166"/>
    <w:rsid w:val="001E167E"/>
    <w:rsid w:val="001E1AD4"/>
    <w:rsid w:val="001E238B"/>
    <w:rsid w:val="001E2C14"/>
    <w:rsid w:val="001E37CC"/>
    <w:rsid w:val="001E4A27"/>
    <w:rsid w:val="001E524C"/>
    <w:rsid w:val="001E5A87"/>
    <w:rsid w:val="001E7156"/>
    <w:rsid w:val="001F0E7F"/>
    <w:rsid w:val="001F0E8C"/>
    <w:rsid w:val="001F22D2"/>
    <w:rsid w:val="001F289A"/>
    <w:rsid w:val="001F2EF6"/>
    <w:rsid w:val="001F487D"/>
    <w:rsid w:val="001F685B"/>
    <w:rsid w:val="002000A1"/>
    <w:rsid w:val="002005D7"/>
    <w:rsid w:val="002007EC"/>
    <w:rsid w:val="002014C6"/>
    <w:rsid w:val="00202FDE"/>
    <w:rsid w:val="0020344E"/>
    <w:rsid w:val="0020394A"/>
    <w:rsid w:val="0020438B"/>
    <w:rsid w:val="00204DE1"/>
    <w:rsid w:val="00207E47"/>
    <w:rsid w:val="00211753"/>
    <w:rsid w:val="00212BD8"/>
    <w:rsid w:val="00216739"/>
    <w:rsid w:val="00220790"/>
    <w:rsid w:val="00223E2F"/>
    <w:rsid w:val="002240E5"/>
    <w:rsid w:val="00224228"/>
    <w:rsid w:val="00225D11"/>
    <w:rsid w:val="00226739"/>
    <w:rsid w:val="00226F31"/>
    <w:rsid w:val="002301B2"/>
    <w:rsid w:val="002303EC"/>
    <w:rsid w:val="00231B63"/>
    <w:rsid w:val="0023461C"/>
    <w:rsid w:val="00234BE0"/>
    <w:rsid w:val="00234DFA"/>
    <w:rsid w:val="00234FCC"/>
    <w:rsid w:val="00235371"/>
    <w:rsid w:val="00236285"/>
    <w:rsid w:val="002372D0"/>
    <w:rsid w:val="0023757A"/>
    <w:rsid w:val="00237614"/>
    <w:rsid w:val="00240252"/>
    <w:rsid w:val="00243F40"/>
    <w:rsid w:val="002446D2"/>
    <w:rsid w:val="00246147"/>
    <w:rsid w:val="00251A5D"/>
    <w:rsid w:val="00252196"/>
    <w:rsid w:val="00253683"/>
    <w:rsid w:val="00253D20"/>
    <w:rsid w:val="00254397"/>
    <w:rsid w:val="00255125"/>
    <w:rsid w:val="00256191"/>
    <w:rsid w:val="00256C61"/>
    <w:rsid w:val="00260499"/>
    <w:rsid w:val="00260E9C"/>
    <w:rsid w:val="00261601"/>
    <w:rsid w:val="00262859"/>
    <w:rsid w:val="00262CB0"/>
    <w:rsid w:val="0026308C"/>
    <w:rsid w:val="00264C04"/>
    <w:rsid w:val="00271685"/>
    <w:rsid w:val="00271FFF"/>
    <w:rsid w:val="002769E7"/>
    <w:rsid w:val="00281439"/>
    <w:rsid w:val="00281B22"/>
    <w:rsid w:val="00282B72"/>
    <w:rsid w:val="00283244"/>
    <w:rsid w:val="002837E9"/>
    <w:rsid w:val="0029241A"/>
    <w:rsid w:val="00292611"/>
    <w:rsid w:val="00292B48"/>
    <w:rsid w:val="00292BE8"/>
    <w:rsid w:val="0029303D"/>
    <w:rsid w:val="002934D3"/>
    <w:rsid w:val="0029498A"/>
    <w:rsid w:val="00296D00"/>
    <w:rsid w:val="00297095"/>
    <w:rsid w:val="002A0097"/>
    <w:rsid w:val="002A072D"/>
    <w:rsid w:val="002A0766"/>
    <w:rsid w:val="002A257C"/>
    <w:rsid w:val="002A2B05"/>
    <w:rsid w:val="002A7281"/>
    <w:rsid w:val="002A72E9"/>
    <w:rsid w:val="002A7F95"/>
    <w:rsid w:val="002B38BF"/>
    <w:rsid w:val="002B3FE9"/>
    <w:rsid w:val="002B56CA"/>
    <w:rsid w:val="002B5A86"/>
    <w:rsid w:val="002B5E8D"/>
    <w:rsid w:val="002C1A6A"/>
    <w:rsid w:val="002C1F3E"/>
    <w:rsid w:val="002C2026"/>
    <w:rsid w:val="002C398E"/>
    <w:rsid w:val="002C4AEF"/>
    <w:rsid w:val="002C6825"/>
    <w:rsid w:val="002D25C9"/>
    <w:rsid w:val="002D2AD4"/>
    <w:rsid w:val="002D2EF2"/>
    <w:rsid w:val="002D3803"/>
    <w:rsid w:val="002D38DE"/>
    <w:rsid w:val="002D797C"/>
    <w:rsid w:val="002E0F62"/>
    <w:rsid w:val="002E1684"/>
    <w:rsid w:val="002E1FA6"/>
    <w:rsid w:val="002E353E"/>
    <w:rsid w:val="002E36A1"/>
    <w:rsid w:val="0030143C"/>
    <w:rsid w:val="003034F6"/>
    <w:rsid w:val="00303A14"/>
    <w:rsid w:val="00304C15"/>
    <w:rsid w:val="003059EE"/>
    <w:rsid w:val="003105B2"/>
    <w:rsid w:val="00312E7F"/>
    <w:rsid w:val="00313799"/>
    <w:rsid w:val="003150FD"/>
    <w:rsid w:val="003151E8"/>
    <w:rsid w:val="00316744"/>
    <w:rsid w:val="00316E83"/>
    <w:rsid w:val="0031737A"/>
    <w:rsid w:val="00317AE0"/>
    <w:rsid w:val="00317B13"/>
    <w:rsid w:val="00320006"/>
    <w:rsid w:val="003208A1"/>
    <w:rsid w:val="003227CB"/>
    <w:rsid w:val="0032329E"/>
    <w:rsid w:val="0032693E"/>
    <w:rsid w:val="00330181"/>
    <w:rsid w:val="00330298"/>
    <w:rsid w:val="00331FFD"/>
    <w:rsid w:val="00333F99"/>
    <w:rsid w:val="0033433B"/>
    <w:rsid w:val="00334B1B"/>
    <w:rsid w:val="00335E15"/>
    <w:rsid w:val="00336192"/>
    <w:rsid w:val="00336F8E"/>
    <w:rsid w:val="00337790"/>
    <w:rsid w:val="00341045"/>
    <w:rsid w:val="00341FD0"/>
    <w:rsid w:val="0034393B"/>
    <w:rsid w:val="003456B2"/>
    <w:rsid w:val="00345810"/>
    <w:rsid w:val="003462AC"/>
    <w:rsid w:val="00346EF2"/>
    <w:rsid w:val="00347843"/>
    <w:rsid w:val="00347FE0"/>
    <w:rsid w:val="00350CA5"/>
    <w:rsid w:val="003515AF"/>
    <w:rsid w:val="003534B5"/>
    <w:rsid w:val="003546CC"/>
    <w:rsid w:val="00357F59"/>
    <w:rsid w:val="00361AEC"/>
    <w:rsid w:val="00362152"/>
    <w:rsid w:val="00363ACA"/>
    <w:rsid w:val="00364365"/>
    <w:rsid w:val="00364610"/>
    <w:rsid w:val="00371122"/>
    <w:rsid w:val="003737A9"/>
    <w:rsid w:val="00375306"/>
    <w:rsid w:val="00375C4B"/>
    <w:rsid w:val="00375E48"/>
    <w:rsid w:val="00376F58"/>
    <w:rsid w:val="00377DA7"/>
    <w:rsid w:val="00380754"/>
    <w:rsid w:val="00384290"/>
    <w:rsid w:val="003853BB"/>
    <w:rsid w:val="00385B20"/>
    <w:rsid w:val="00387B25"/>
    <w:rsid w:val="00390BB0"/>
    <w:rsid w:val="00390F1F"/>
    <w:rsid w:val="00391430"/>
    <w:rsid w:val="0039254D"/>
    <w:rsid w:val="0039300F"/>
    <w:rsid w:val="00396623"/>
    <w:rsid w:val="003A123E"/>
    <w:rsid w:val="003A12B5"/>
    <w:rsid w:val="003A1B35"/>
    <w:rsid w:val="003A1C16"/>
    <w:rsid w:val="003A4ED5"/>
    <w:rsid w:val="003A4F6D"/>
    <w:rsid w:val="003A5D3D"/>
    <w:rsid w:val="003A6D49"/>
    <w:rsid w:val="003B1964"/>
    <w:rsid w:val="003B24FD"/>
    <w:rsid w:val="003B5716"/>
    <w:rsid w:val="003B7DB2"/>
    <w:rsid w:val="003C0F31"/>
    <w:rsid w:val="003C433A"/>
    <w:rsid w:val="003C4F3D"/>
    <w:rsid w:val="003C62C2"/>
    <w:rsid w:val="003C660B"/>
    <w:rsid w:val="003C6EF7"/>
    <w:rsid w:val="003D0571"/>
    <w:rsid w:val="003D0AB7"/>
    <w:rsid w:val="003D11ED"/>
    <w:rsid w:val="003D1FEA"/>
    <w:rsid w:val="003D3694"/>
    <w:rsid w:val="003D3D23"/>
    <w:rsid w:val="003D3DB8"/>
    <w:rsid w:val="003D4492"/>
    <w:rsid w:val="003D5BC9"/>
    <w:rsid w:val="003D620F"/>
    <w:rsid w:val="003D71BB"/>
    <w:rsid w:val="003E06FA"/>
    <w:rsid w:val="003E1CAA"/>
    <w:rsid w:val="003E2FAC"/>
    <w:rsid w:val="003E5CA0"/>
    <w:rsid w:val="003E79C6"/>
    <w:rsid w:val="003E7E48"/>
    <w:rsid w:val="003F0582"/>
    <w:rsid w:val="003F1B78"/>
    <w:rsid w:val="003F3051"/>
    <w:rsid w:val="003F388F"/>
    <w:rsid w:val="003F418D"/>
    <w:rsid w:val="003F5B30"/>
    <w:rsid w:val="003F62C2"/>
    <w:rsid w:val="003F6D16"/>
    <w:rsid w:val="003F6EC4"/>
    <w:rsid w:val="003F786E"/>
    <w:rsid w:val="0040015C"/>
    <w:rsid w:val="0040186B"/>
    <w:rsid w:val="00402007"/>
    <w:rsid w:val="004026EA"/>
    <w:rsid w:val="00402B72"/>
    <w:rsid w:val="0040337A"/>
    <w:rsid w:val="00403EF7"/>
    <w:rsid w:val="004068AF"/>
    <w:rsid w:val="00406FA8"/>
    <w:rsid w:val="00412F5C"/>
    <w:rsid w:val="0041372D"/>
    <w:rsid w:val="004138ED"/>
    <w:rsid w:val="00415DBB"/>
    <w:rsid w:val="0041696B"/>
    <w:rsid w:val="004173F1"/>
    <w:rsid w:val="004202EC"/>
    <w:rsid w:val="00420774"/>
    <w:rsid w:val="00421CD4"/>
    <w:rsid w:val="00421E25"/>
    <w:rsid w:val="0042377C"/>
    <w:rsid w:val="0042566C"/>
    <w:rsid w:val="00426263"/>
    <w:rsid w:val="004265A5"/>
    <w:rsid w:val="00426F26"/>
    <w:rsid w:val="00427033"/>
    <w:rsid w:val="00427347"/>
    <w:rsid w:val="00427E74"/>
    <w:rsid w:val="0043018A"/>
    <w:rsid w:val="00435A8C"/>
    <w:rsid w:val="004406FD"/>
    <w:rsid w:val="00442301"/>
    <w:rsid w:val="004457D5"/>
    <w:rsid w:val="00446B2C"/>
    <w:rsid w:val="00446EBE"/>
    <w:rsid w:val="00450432"/>
    <w:rsid w:val="00450542"/>
    <w:rsid w:val="00454109"/>
    <w:rsid w:val="00455AFB"/>
    <w:rsid w:val="00463117"/>
    <w:rsid w:val="00463690"/>
    <w:rsid w:val="004660D4"/>
    <w:rsid w:val="004670AA"/>
    <w:rsid w:val="00467F91"/>
    <w:rsid w:val="00472A96"/>
    <w:rsid w:val="00473F4A"/>
    <w:rsid w:val="004744C1"/>
    <w:rsid w:val="004756E7"/>
    <w:rsid w:val="00480A58"/>
    <w:rsid w:val="00481B4E"/>
    <w:rsid w:val="004831D3"/>
    <w:rsid w:val="00484AF3"/>
    <w:rsid w:val="00486024"/>
    <w:rsid w:val="00490AC1"/>
    <w:rsid w:val="00491457"/>
    <w:rsid w:val="00492DA7"/>
    <w:rsid w:val="0049423E"/>
    <w:rsid w:val="004957A7"/>
    <w:rsid w:val="00496B7E"/>
    <w:rsid w:val="00496BD3"/>
    <w:rsid w:val="00497F74"/>
    <w:rsid w:val="004A02B2"/>
    <w:rsid w:val="004A0594"/>
    <w:rsid w:val="004A3D09"/>
    <w:rsid w:val="004A6E2F"/>
    <w:rsid w:val="004A73F3"/>
    <w:rsid w:val="004B01DB"/>
    <w:rsid w:val="004B1105"/>
    <w:rsid w:val="004B4654"/>
    <w:rsid w:val="004B5579"/>
    <w:rsid w:val="004B7945"/>
    <w:rsid w:val="004B7AB4"/>
    <w:rsid w:val="004C76C4"/>
    <w:rsid w:val="004D24E1"/>
    <w:rsid w:val="004D2931"/>
    <w:rsid w:val="004D3A08"/>
    <w:rsid w:val="004D42AB"/>
    <w:rsid w:val="004D44AF"/>
    <w:rsid w:val="004D4BCE"/>
    <w:rsid w:val="004D55CA"/>
    <w:rsid w:val="004D620E"/>
    <w:rsid w:val="004D77DE"/>
    <w:rsid w:val="004E1506"/>
    <w:rsid w:val="004E329E"/>
    <w:rsid w:val="004E42D6"/>
    <w:rsid w:val="004E601E"/>
    <w:rsid w:val="004E671A"/>
    <w:rsid w:val="004F0108"/>
    <w:rsid w:val="004F110F"/>
    <w:rsid w:val="004F35A3"/>
    <w:rsid w:val="004F3735"/>
    <w:rsid w:val="004F4B42"/>
    <w:rsid w:val="004F4DE4"/>
    <w:rsid w:val="005002AB"/>
    <w:rsid w:val="00500C0D"/>
    <w:rsid w:val="00500EED"/>
    <w:rsid w:val="00501CBE"/>
    <w:rsid w:val="0050286E"/>
    <w:rsid w:val="00502BBE"/>
    <w:rsid w:val="00505FB8"/>
    <w:rsid w:val="0050622C"/>
    <w:rsid w:val="00506267"/>
    <w:rsid w:val="0051077B"/>
    <w:rsid w:val="00514E5E"/>
    <w:rsid w:val="00515382"/>
    <w:rsid w:val="00516476"/>
    <w:rsid w:val="005172ED"/>
    <w:rsid w:val="00520BD8"/>
    <w:rsid w:val="00521708"/>
    <w:rsid w:val="005248C0"/>
    <w:rsid w:val="00527EBA"/>
    <w:rsid w:val="0053004B"/>
    <w:rsid w:val="00532DC6"/>
    <w:rsid w:val="005344A8"/>
    <w:rsid w:val="005347C8"/>
    <w:rsid w:val="0053599F"/>
    <w:rsid w:val="00536CCF"/>
    <w:rsid w:val="00536E03"/>
    <w:rsid w:val="00542007"/>
    <w:rsid w:val="005475D2"/>
    <w:rsid w:val="005510A5"/>
    <w:rsid w:val="00552741"/>
    <w:rsid w:val="00554392"/>
    <w:rsid w:val="005546FD"/>
    <w:rsid w:val="00554D1B"/>
    <w:rsid w:val="0055792B"/>
    <w:rsid w:val="005607D4"/>
    <w:rsid w:val="0056243D"/>
    <w:rsid w:val="00562628"/>
    <w:rsid w:val="00564B7B"/>
    <w:rsid w:val="00567C66"/>
    <w:rsid w:val="0057158B"/>
    <w:rsid w:val="0057170E"/>
    <w:rsid w:val="005719A4"/>
    <w:rsid w:val="00575FF4"/>
    <w:rsid w:val="005770BA"/>
    <w:rsid w:val="00582760"/>
    <w:rsid w:val="0058579F"/>
    <w:rsid w:val="00585B24"/>
    <w:rsid w:val="00585ED9"/>
    <w:rsid w:val="00585F0E"/>
    <w:rsid w:val="005867AD"/>
    <w:rsid w:val="00586956"/>
    <w:rsid w:val="00587613"/>
    <w:rsid w:val="00590243"/>
    <w:rsid w:val="00590644"/>
    <w:rsid w:val="005931DE"/>
    <w:rsid w:val="00593241"/>
    <w:rsid w:val="00593569"/>
    <w:rsid w:val="005958E6"/>
    <w:rsid w:val="00596134"/>
    <w:rsid w:val="00596CEB"/>
    <w:rsid w:val="00597DF9"/>
    <w:rsid w:val="005A04E7"/>
    <w:rsid w:val="005A08FF"/>
    <w:rsid w:val="005A4780"/>
    <w:rsid w:val="005A48E8"/>
    <w:rsid w:val="005A631F"/>
    <w:rsid w:val="005A6B24"/>
    <w:rsid w:val="005B082E"/>
    <w:rsid w:val="005B1D4E"/>
    <w:rsid w:val="005B3822"/>
    <w:rsid w:val="005B4F3A"/>
    <w:rsid w:val="005B5816"/>
    <w:rsid w:val="005B6484"/>
    <w:rsid w:val="005B7779"/>
    <w:rsid w:val="005C0405"/>
    <w:rsid w:val="005C0650"/>
    <w:rsid w:val="005C1141"/>
    <w:rsid w:val="005C3003"/>
    <w:rsid w:val="005C5085"/>
    <w:rsid w:val="005C6B7A"/>
    <w:rsid w:val="005C7520"/>
    <w:rsid w:val="005D071A"/>
    <w:rsid w:val="005D1138"/>
    <w:rsid w:val="005D1AA1"/>
    <w:rsid w:val="005D2832"/>
    <w:rsid w:val="005D28EA"/>
    <w:rsid w:val="005D49FB"/>
    <w:rsid w:val="005D74AB"/>
    <w:rsid w:val="005E16A3"/>
    <w:rsid w:val="005E171B"/>
    <w:rsid w:val="005E261C"/>
    <w:rsid w:val="005E290A"/>
    <w:rsid w:val="005E5048"/>
    <w:rsid w:val="005E54D1"/>
    <w:rsid w:val="005E78A7"/>
    <w:rsid w:val="005F0ABF"/>
    <w:rsid w:val="005F12AD"/>
    <w:rsid w:val="005F194F"/>
    <w:rsid w:val="005F435A"/>
    <w:rsid w:val="005F51D8"/>
    <w:rsid w:val="005F6465"/>
    <w:rsid w:val="005F6E5E"/>
    <w:rsid w:val="005F7100"/>
    <w:rsid w:val="005F78D0"/>
    <w:rsid w:val="005F78D6"/>
    <w:rsid w:val="005F7D78"/>
    <w:rsid w:val="00601BAF"/>
    <w:rsid w:val="0060393B"/>
    <w:rsid w:val="006050F6"/>
    <w:rsid w:val="006058C8"/>
    <w:rsid w:val="00610405"/>
    <w:rsid w:val="00610BC8"/>
    <w:rsid w:val="00611E69"/>
    <w:rsid w:val="00613B84"/>
    <w:rsid w:val="00615308"/>
    <w:rsid w:val="0061538D"/>
    <w:rsid w:val="00615EC8"/>
    <w:rsid w:val="00615EDD"/>
    <w:rsid w:val="00617315"/>
    <w:rsid w:val="00617C6A"/>
    <w:rsid w:val="0062154D"/>
    <w:rsid w:val="00622D84"/>
    <w:rsid w:val="006232DF"/>
    <w:rsid w:val="00624B08"/>
    <w:rsid w:val="00624E56"/>
    <w:rsid w:val="00624E97"/>
    <w:rsid w:val="00625A73"/>
    <w:rsid w:val="00631294"/>
    <w:rsid w:val="00631492"/>
    <w:rsid w:val="00633355"/>
    <w:rsid w:val="0063335E"/>
    <w:rsid w:val="00633B2C"/>
    <w:rsid w:val="006365DF"/>
    <w:rsid w:val="00637F60"/>
    <w:rsid w:val="006405A4"/>
    <w:rsid w:val="00641E6E"/>
    <w:rsid w:val="006454AF"/>
    <w:rsid w:val="00645D59"/>
    <w:rsid w:val="00646EE5"/>
    <w:rsid w:val="00651E23"/>
    <w:rsid w:val="00653034"/>
    <w:rsid w:val="00653344"/>
    <w:rsid w:val="00655121"/>
    <w:rsid w:val="00655D97"/>
    <w:rsid w:val="006570DE"/>
    <w:rsid w:val="00657D1A"/>
    <w:rsid w:val="0066017D"/>
    <w:rsid w:val="00662A8F"/>
    <w:rsid w:val="00663046"/>
    <w:rsid w:val="00663072"/>
    <w:rsid w:val="00665259"/>
    <w:rsid w:val="00665F1E"/>
    <w:rsid w:val="00671F55"/>
    <w:rsid w:val="0067313A"/>
    <w:rsid w:val="00673B32"/>
    <w:rsid w:val="00673D8F"/>
    <w:rsid w:val="006746CF"/>
    <w:rsid w:val="00674BBB"/>
    <w:rsid w:val="00675B9E"/>
    <w:rsid w:val="006764F3"/>
    <w:rsid w:val="00680CAD"/>
    <w:rsid w:val="00680FF8"/>
    <w:rsid w:val="0068212A"/>
    <w:rsid w:val="00683DF6"/>
    <w:rsid w:val="00684AD9"/>
    <w:rsid w:val="00685F6D"/>
    <w:rsid w:val="0068682E"/>
    <w:rsid w:val="006925F0"/>
    <w:rsid w:val="006952C8"/>
    <w:rsid w:val="0069585C"/>
    <w:rsid w:val="006A01FF"/>
    <w:rsid w:val="006A05F4"/>
    <w:rsid w:val="006A1109"/>
    <w:rsid w:val="006A4CDE"/>
    <w:rsid w:val="006B01D6"/>
    <w:rsid w:val="006B100E"/>
    <w:rsid w:val="006B3E76"/>
    <w:rsid w:val="006B6521"/>
    <w:rsid w:val="006B6640"/>
    <w:rsid w:val="006B6B11"/>
    <w:rsid w:val="006C08FB"/>
    <w:rsid w:val="006C0E8D"/>
    <w:rsid w:val="006C2480"/>
    <w:rsid w:val="006C2D5A"/>
    <w:rsid w:val="006C3289"/>
    <w:rsid w:val="006C72AE"/>
    <w:rsid w:val="006C74EA"/>
    <w:rsid w:val="006C760A"/>
    <w:rsid w:val="006C7A31"/>
    <w:rsid w:val="006C7F53"/>
    <w:rsid w:val="006D08CC"/>
    <w:rsid w:val="006D0EC3"/>
    <w:rsid w:val="006D1570"/>
    <w:rsid w:val="006D4D03"/>
    <w:rsid w:val="006D60DA"/>
    <w:rsid w:val="006D6267"/>
    <w:rsid w:val="006D777A"/>
    <w:rsid w:val="006D7837"/>
    <w:rsid w:val="006D7BAC"/>
    <w:rsid w:val="006E1966"/>
    <w:rsid w:val="006E2087"/>
    <w:rsid w:val="006E48EA"/>
    <w:rsid w:val="006E6188"/>
    <w:rsid w:val="006E73D8"/>
    <w:rsid w:val="006F0293"/>
    <w:rsid w:val="006F0B78"/>
    <w:rsid w:val="006F179A"/>
    <w:rsid w:val="006F1E6C"/>
    <w:rsid w:val="006F425E"/>
    <w:rsid w:val="006F4A85"/>
    <w:rsid w:val="006F68D2"/>
    <w:rsid w:val="006F6A90"/>
    <w:rsid w:val="00704057"/>
    <w:rsid w:val="00704C7E"/>
    <w:rsid w:val="00705C5D"/>
    <w:rsid w:val="00706A0E"/>
    <w:rsid w:val="00707D45"/>
    <w:rsid w:val="00707FDA"/>
    <w:rsid w:val="00710C72"/>
    <w:rsid w:val="00711092"/>
    <w:rsid w:val="00714EDF"/>
    <w:rsid w:val="00716F10"/>
    <w:rsid w:val="00724DC5"/>
    <w:rsid w:val="007255F0"/>
    <w:rsid w:val="007308CA"/>
    <w:rsid w:val="00734D96"/>
    <w:rsid w:val="007357D4"/>
    <w:rsid w:val="00735852"/>
    <w:rsid w:val="00736776"/>
    <w:rsid w:val="007369D4"/>
    <w:rsid w:val="00737A1E"/>
    <w:rsid w:val="007412D0"/>
    <w:rsid w:val="007462D1"/>
    <w:rsid w:val="0074733B"/>
    <w:rsid w:val="00747868"/>
    <w:rsid w:val="007479EE"/>
    <w:rsid w:val="00747E46"/>
    <w:rsid w:val="007523EB"/>
    <w:rsid w:val="00753061"/>
    <w:rsid w:val="00754F21"/>
    <w:rsid w:val="007560D9"/>
    <w:rsid w:val="00756196"/>
    <w:rsid w:val="00757E62"/>
    <w:rsid w:val="00760606"/>
    <w:rsid w:val="007607DA"/>
    <w:rsid w:val="007630B6"/>
    <w:rsid w:val="007640CE"/>
    <w:rsid w:val="00764B61"/>
    <w:rsid w:val="00765352"/>
    <w:rsid w:val="00765535"/>
    <w:rsid w:val="007710F2"/>
    <w:rsid w:val="00771B77"/>
    <w:rsid w:val="00776725"/>
    <w:rsid w:val="00780466"/>
    <w:rsid w:val="00782D07"/>
    <w:rsid w:val="00783611"/>
    <w:rsid w:val="00783A1A"/>
    <w:rsid w:val="00784CAE"/>
    <w:rsid w:val="00785B73"/>
    <w:rsid w:val="007865D7"/>
    <w:rsid w:val="00795024"/>
    <w:rsid w:val="0079536F"/>
    <w:rsid w:val="0079577F"/>
    <w:rsid w:val="0079764A"/>
    <w:rsid w:val="007A0067"/>
    <w:rsid w:val="007A2D61"/>
    <w:rsid w:val="007A4F4A"/>
    <w:rsid w:val="007A5153"/>
    <w:rsid w:val="007B00D6"/>
    <w:rsid w:val="007B1F9C"/>
    <w:rsid w:val="007B21F1"/>
    <w:rsid w:val="007B2802"/>
    <w:rsid w:val="007C6489"/>
    <w:rsid w:val="007C7B14"/>
    <w:rsid w:val="007D01FB"/>
    <w:rsid w:val="007D2550"/>
    <w:rsid w:val="007D49CF"/>
    <w:rsid w:val="007D4B2C"/>
    <w:rsid w:val="007D4E7F"/>
    <w:rsid w:val="007D5FEF"/>
    <w:rsid w:val="007E00F1"/>
    <w:rsid w:val="007E15B6"/>
    <w:rsid w:val="007E164F"/>
    <w:rsid w:val="007E19F9"/>
    <w:rsid w:val="007E1DA0"/>
    <w:rsid w:val="007E3AF7"/>
    <w:rsid w:val="007E4757"/>
    <w:rsid w:val="007E7251"/>
    <w:rsid w:val="007F091F"/>
    <w:rsid w:val="007F12C5"/>
    <w:rsid w:val="007F23E6"/>
    <w:rsid w:val="007F433A"/>
    <w:rsid w:val="007F6DE9"/>
    <w:rsid w:val="007F7235"/>
    <w:rsid w:val="00800DF6"/>
    <w:rsid w:val="008043DB"/>
    <w:rsid w:val="00807B2E"/>
    <w:rsid w:val="00811D4D"/>
    <w:rsid w:val="008127BC"/>
    <w:rsid w:val="00812851"/>
    <w:rsid w:val="00813C50"/>
    <w:rsid w:val="0081432B"/>
    <w:rsid w:val="00814958"/>
    <w:rsid w:val="008150ED"/>
    <w:rsid w:val="00817322"/>
    <w:rsid w:val="00827934"/>
    <w:rsid w:val="0083065E"/>
    <w:rsid w:val="00831728"/>
    <w:rsid w:val="00831B31"/>
    <w:rsid w:val="00831B74"/>
    <w:rsid w:val="00832E08"/>
    <w:rsid w:val="008336EC"/>
    <w:rsid w:val="00834255"/>
    <w:rsid w:val="00834AC9"/>
    <w:rsid w:val="00836D97"/>
    <w:rsid w:val="00840392"/>
    <w:rsid w:val="00841669"/>
    <w:rsid w:val="0084212F"/>
    <w:rsid w:val="00843A07"/>
    <w:rsid w:val="00844C7B"/>
    <w:rsid w:val="00845B4F"/>
    <w:rsid w:val="008460D4"/>
    <w:rsid w:val="00847A43"/>
    <w:rsid w:val="0085091A"/>
    <w:rsid w:val="008510FA"/>
    <w:rsid w:val="00851432"/>
    <w:rsid w:val="00852A8D"/>
    <w:rsid w:val="00855234"/>
    <w:rsid w:val="00855437"/>
    <w:rsid w:val="00856605"/>
    <w:rsid w:val="00856ED0"/>
    <w:rsid w:val="008612D0"/>
    <w:rsid w:val="008614CE"/>
    <w:rsid w:val="00861518"/>
    <w:rsid w:val="00861AFA"/>
    <w:rsid w:val="008700BA"/>
    <w:rsid w:val="008729DC"/>
    <w:rsid w:val="00872BC2"/>
    <w:rsid w:val="0087413C"/>
    <w:rsid w:val="0087564D"/>
    <w:rsid w:val="00875771"/>
    <w:rsid w:val="00876993"/>
    <w:rsid w:val="00877218"/>
    <w:rsid w:val="008775A5"/>
    <w:rsid w:val="008777BD"/>
    <w:rsid w:val="008830B9"/>
    <w:rsid w:val="0088311B"/>
    <w:rsid w:val="00883761"/>
    <w:rsid w:val="00884791"/>
    <w:rsid w:val="00885666"/>
    <w:rsid w:val="00890E97"/>
    <w:rsid w:val="0089182F"/>
    <w:rsid w:val="00893637"/>
    <w:rsid w:val="00894136"/>
    <w:rsid w:val="008A1CB8"/>
    <w:rsid w:val="008A3B7D"/>
    <w:rsid w:val="008A4A22"/>
    <w:rsid w:val="008A6F65"/>
    <w:rsid w:val="008A779B"/>
    <w:rsid w:val="008B01AA"/>
    <w:rsid w:val="008B3D8D"/>
    <w:rsid w:val="008B3D9F"/>
    <w:rsid w:val="008B5DD1"/>
    <w:rsid w:val="008B73A8"/>
    <w:rsid w:val="008B7939"/>
    <w:rsid w:val="008B7BBE"/>
    <w:rsid w:val="008C0BF9"/>
    <w:rsid w:val="008C13FA"/>
    <w:rsid w:val="008C25AC"/>
    <w:rsid w:val="008C2FB9"/>
    <w:rsid w:val="008C5019"/>
    <w:rsid w:val="008C5AEF"/>
    <w:rsid w:val="008C7727"/>
    <w:rsid w:val="008D03E4"/>
    <w:rsid w:val="008D0A27"/>
    <w:rsid w:val="008D18C6"/>
    <w:rsid w:val="008D2B35"/>
    <w:rsid w:val="008D45B2"/>
    <w:rsid w:val="008D7A42"/>
    <w:rsid w:val="008D7F3B"/>
    <w:rsid w:val="008E13B9"/>
    <w:rsid w:val="008E1DA4"/>
    <w:rsid w:val="008E3020"/>
    <w:rsid w:val="008E3535"/>
    <w:rsid w:val="008E4C9A"/>
    <w:rsid w:val="008E64FD"/>
    <w:rsid w:val="008E70B4"/>
    <w:rsid w:val="008E7C96"/>
    <w:rsid w:val="008F0AA1"/>
    <w:rsid w:val="008F0D67"/>
    <w:rsid w:val="008F214B"/>
    <w:rsid w:val="008F31E9"/>
    <w:rsid w:val="008F3AE0"/>
    <w:rsid w:val="008F7464"/>
    <w:rsid w:val="0090032E"/>
    <w:rsid w:val="00902F5A"/>
    <w:rsid w:val="00904E26"/>
    <w:rsid w:val="00905CA4"/>
    <w:rsid w:val="0091262D"/>
    <w:rsid w:val="00912CAB"/>
    <w:rsid w:val="0091627A"/>
    <w:rsid w:val="00916C61"/>
    <w:rsid w:val="00917407"/>
    <w:rsid w:val="009211C2"/>
    <w:rsid w:val="00922088"/>
    <w:rsid w:val="00922CD1"/>
    <w:rsid w:val="00923F8B"/>
    <w:rsid w:val="0092448E"/>
    <w:rsid w:val="009257A5"/>
    <w:rsid w:val="009260C5"/>
    <w:rsid w:val="0092635B"/>
    <w:rsid w:val="00926545"/>
    <w:rsid w:val="00926B05"/>
    <w:rsid w:val="0093101F"/>
    <w:rsid w:val="00932A63"/>
    <w:rsid w:val="00933BA2"/>
    <w:rsid w:val="00934993"/>
    <w:rsid w:val="0093545C"/>
    <w:rsid w:val="009355FA"/>
    <w:rsid w:val="00935610"/>
    <w:rsid w:val="009371CB"/>
    <w:rsid w:val="009375B4"/>
    <w:rsid w:val="00942C5B"/>
    <w:rsid w:val="00943387"/>
    <w:rsid w:val="00943924"/>
    <w:rsid w:val="009470F7"/>
    <w:rsid w:val="009475E8"/>
    <w:rsid w:val="0095048D"/>
    <w:rsid w:val="00952637"/>
    <w:rsid w:val="00952BB9"/>
    <w:rsid w:val="00953633"/>
    <w:rsid w:val="00953F0E"/>
    <w:rsid w:val="00955C3F"/>
    <w:rsid w:val="0095638B"/>
    <w:rsid w:val="009573C9"/>
    <w:rsid w:val="00957D6D"/>
    <w:rsid w:val="00957F6F"/>
    <w:rsid w:val="0096429E"/>
    <w:rsid w:val="00966F3D"/>
    <w:rsid w:val="009709E1"/>
    <w:rsid w:val="00970FCA"/>
    <w:rsid w:val="009721D1"/>
    <w:rsid w:val="009731A6"/>
    <w:rsid w:val="0097353D"/>
    <w:rsid w:val="0097419D"/>
    <w:rsid w:val="00976A2B"/>
    <w:rsid w:val="00977E90"/>
    <w:rsid w:val="00980EB8"/>
    <w:rsid w:val="00981AA1"/>
    <w:rsid w:val="00982276"/>
    <w:rsid w:val="00982495"/>
    <w:rsid w:val="00982F6A"/>
    <w:rsid w:val="00983FBC"/>
    <w:rsid w:val="00984BE0"/>
    <w:rsid w:val="00987360"/>
    <w:rsid w:val="0099157D"/>
    <w:rsid w:val="00993796"/>
    <w:rsid w:val="00993828"/>
    <w:rsid w:val="009939B9"/>
    <w:rsid w:val="00994D2A"/>
    <w:rsid w:val="009A20D3"/>
    <w:rsid w:val="009A2A76"/>
    <w:rsid w:val="009A3C5C"/>
    <w:rsid w:val="009A40D0"/>
    <w:rsid w:val="009A4489"/>
    <w:rsid w:val="009A4C3E"/>
    <w:rsid w:val="009A4F07"/>
    <w:rsid w:val="009A62DB"/>
    <w:rsid w:val="009A67A4"/>
    <w:rsid w:val="009A7EA2"/>
    <w:rsid w:val="009A7F71"/>
    <w:rsid w:val="009B0CE1"/>
    <w:rsid w:val="009B1993"/>
    <w:rsid w:val="009B1A5E"/>
    <w:rsid w:val="009B255B"/>
    <w:rsid w:val="009B3ED0"/>
    <w:rsid w:val="009B6927"/>
    <w:rsid w:val="009C21CD"/>
    <w:rsid w:val="009C535E"/>
    <w:rsid w:val="009C67A5"/>
    <w:rsid w:val="009D1CAE"/>
    <w:rsid w:val="009D21BD"/>
    <w:rsid w:val="009D5769"/>
    <w:rsid w:val="009D5BE9"/>
    <w:rsid w:val="009E243E"/>
    <w:rsid w:val="009E2598"/>
    <w:rsid w:val="009E2AA4"/>
    <w:rsid w:val="009E50DD"/>
    <w:rsid w:val="009E79FD"/>
    <w:rsid w:val="009F14B5"/>
    <w:rsid w:val="009F1D0F"/>
    <w:rsid w:val="009F26D2"/>
    <w:rsid w:val="009F66BD"/>
    <w:rsid w:val="009F73E6"/>
    <w:rsid w:val="00A00EDB"/>
    <w:rsid w:val="00A012ED"/>
    <w:rsid w:val="00A01CDF"/>
    <w:rsid w:val="00A072FB"/>
    <w:rsid w:val="00A0735D"/>
    <w:rsid w:val="00A12C7E"/>
    <w:rsid w:val="00A16FE0"/>
    <w:rsid w:val="00A21690"/>
    <w:rsid w:val="00A21A2F"/>
    <w:rsid w:val="00A222B2"/>
    <w:rsid w:val="00A229CC"/>
    <w:rsid w:val="00A23E5A"/>
    <w:rsid w:val="00A2401F"/>
    <w:rsid w:val="00A25416"/>
    <w:rsid w:val="00A30001"/>
    <w:rsid w:val="00A30500"/>
    <w:rsid w:val="00A31CBF"/>
    <w:rsid w:val="00A33CBA"/>
    <w:rsid w:val="00A34FD2"/>
    <w:rsid w:val="00A35341"/>
    <w:rsid w:val="00A3632D"/>
    <w:rsid w:val="00A368FD"/>
    <w:rsid w:val="00A37FCE"/>
    <w:rsid w:val="00A4119F"/>
    <w:rsid w:val="00A416BC"/>
    <w:rsid w:val="00A42075"/>
    <w:rsid w:val="00A420D6"/>
    <w:rsid w:val="00A42232"/>
    <w:rsid w:val="00A42667"/>
    <w:rsid w:val="00A468CA"/>
    <w:rsid w:val="00A517B4"/>
    <w:rsid w:val="00A521D4"/>
    <w:rsid w:val="00A54D10"/>
    <w:rsid w:val="00A60862"/>
    <w:rsid w:val="00A61CC7"/>
    <w:rsid w:val="00A6258A"/>
    <w:rsid w:val="00A64B7F"/>
    <w:rsid w:val="00A64EBC"/>
    <w:rsid w:val="00A71BAA"/>
    <w:rsid w:val="00A72D9B"/>
    <w:rsid w:val="00A72F58"/>
    <w:rsid w:val="00A72FC7"/>
    <w:rsid w:val="00A73F4C"/>
    <w:rsid w:val="00A74FB2"/>
    <w:rsid w:val="00A86517"/>
    <w:rsid w:val="00A871E1"/>
    <w:rsid w:val="00A87749"/>
    <w:rsid w:val="00A87EA2"/>
    <w:rsid w:val="00A90D06"/>
    <w:rsid w:val="00A917AB"/>
    <w:rsid w:val="00A94599"/>
    <w:rsid w:val="00A95603"/>
    <w:rsid w:val="00A97D4F"/>
    <w:rsid w:val="00AA0177"/>
    <w:rsid w:val="00AA09DF"/>
    <w:rsid w:val="00AA3386"/>
    <w:rsid w:val="00AB0C14"/>
    <w:rsid w:val="00AB110A"/>
    <w:rsid w:val="00AB222A"/>
    <w:rsid w:val="00AB2C15"/>
    <w:rsid w:val="00AB3FA5"/>
    <w:rsid w:val="00AC25C3"/>
    <w:rsid w:val="00AC482D"/>
    <w:rsid w:val="00AC4C59"/>
    <w:rsid w:val="00AC5FF3"/>
    <w:rsid w:val="00AC6B97"/>
    <w:rsid w:val="00AD1DEF"/>
    <w:rsid w:val="00AD2B69"/>
    <w:rsid w:val="00AD6A88"/>
    <w:rsid w:val="00AE09CA"/>
    <w:rsid w:val="00AE250D"/>
    <w:rsid w:val="00AE3358"/>
    <w:rsid w:val="00AE3C8F"/>
    <w:rsid w:val="00AE4615"/>
    <w:rsid w:val="00AF0352"/>
    <w:rsid w:val="00AF159B"/>
    <w:rsid w:val="00AF474A"/>
    <w:rsid w:val="00AF5E2A"/>
    <w:rsid w:val="00AF7906"/>
    <w:rsid w:val="00B01432"/>
    <w:rsid w:val="00B0699D"/>
    <w:rsid w:val="00B073EF"/>
    <w:rsid w:val="00B07CFA"/>
    <w:rsid w:val="00B07DD8"/>
    <w:rsid w:val="00B10F4E"/>
    <w:rsid w:val="00B110D1"/>
    <w:rsid w:val="00B1238C"/>
    <w:rsid w:val="00B12ED6"/>
    <w:rsid w:val="00B153EA"/>
    <w:rsid w:val="00B200E5"/>
    <w:rsid w:val="00B23538"/>
    <w:rsid w:val="00B23597"/>
    <w:rsid w:val="00B2379B"/>
    <w:rsid w:val="00B2574C"/>
    <w:rsid w:val="00B2675F"/>
    <w:rsid w:val="00B272B1"/>
    <w:rsid w:val="00B27AEF"/>
    <w:rsid w:val="00B31332"/>
    <w:rsid w:val="00B32108"/>
    <w:rsid w:val="00B33FC7"/>
    <w:rsid w:val="00B351BD"/>
    <w:rsid w:val="00B35EBD"/>
    <w:rsid w:val="00B43746"/>
    <w:rsid w:val="00B43D9F"/>
    <w:rsid w:val="00B4433F"/>
    <w:rsid w:val="00B44A24"/>
    <w:rsid w:val="00B44D52"/>
    <w:rsid w:val="00B45ABF"/>
    <w:rsid w:val="00B4641C"/>
    <w:rsid w:val="00B46B0C"/>
    <w:rsid w:val="00B5039E"/>
    <w:rsid w:val="00B51117"/>
    <w:rsid w:val="00B52DC0"/>
    <w:rsid w:val="00B545F2"/>
    <w:rsid w:val="00B54644"/>
    <w:rsid w:val="00B551C1"/>
    <w:rsid w:val="00B55EAB"/>
    <w:rsid w:val="00B55F14"/>
    <w:rsid w:val="00B55F5D"/>
    <w:rsid w:val="00B56A45"/>
    <w:rsid w:val="00B572FC"/>
    <w:rsid w:val="00B57DCD"/>
    <w:rsid w:val="00B60C60"/>
    <w:rsid w:val="00B61368"/>
    <w:rsid w:val="00B6608D"/>
    <w:rsid w:val="00B6652E"/>
    <w:rsid w:val="00B6728E"/>
    <w:rsid w:val="00B71B44"/>
    <w:rsid w:val="00B74901"/>
    <w:rsid w:val="00B74B41"/>
    <w:rsid w:val="00B761DC"/>
    <w:rsid w:val="00B76E96"/>
    <w:rsid w:val="00B7765C"/>
    <w:rsid w:val="00B778AD"/>
    <w:rsid w:val="00B77DDD"/>
    <w:rsid w:val="00B802B5"/>
    <w:rsid w:val="00B81AC3"/>
    <w:rsid w:val="00B83731"/>
    <w:rsid w:val="00B84486"/>
    <w:rsid w:val="00B86912"/>
    <w:rsid w:val="00B91D77"/>
    <w:rsid w:val="00B933B1"/>
    <w:rsid w:val="00B94BFC"/>
    <w:rsid w:val="00B951FB"/>
    <w:rsid w:val="00BA1E09"/>
    <w:rsid w:val="00BA2AB5"/>
    <w:rsid w:val="00BA34BF"/>
    <w:rsid w:val="00BA3770"/>
    <w:rsid w:val="00BA3C10"/>
    <w:rsid w:val="00BA424C"/>
    <w:rsid w:val="00BA4545"/>
    <w:rsid w:val="00BA4A44"/>
    <w:rsid w:val="00BA69EB"/>
    <w:rsid w:val="00BB06B9"/>
    <w:rsid w:val="00BB0D4A"/>
    <w:rsid w:val="00BB134D"/>
    <w:rsid w:val="00BB2E25"/>
    <w:rsid w:val="00BB3CF8"/>
    <w:rsid w:val="00BB4342"/>
    <w:rsid w:val="00BB4E5E"/>
    <w:rsid w:val="00BB5224"/>
    <w:rsid w:val="00BB56CB"/>
    <w:rsid w:val="00BB73C2"/>
    <w:rsid w:val="00BB7500"/>
    <w:rsid w:val="00BC0E14"/>
    <w:rsid w:val="00BC39DE"/>
    <w:rsid w:val="00BC582E"/>
    <w:rsid w:val="00BC6047"/>
    <w:rsid w:val="00BC658E"/>
    <w:rsid w:val="00BC6663"/>
    <w:rsid w:val="00BC761B"/>
    <w:rsid w:val="00BD0006"/>
    <w:rsid w:val="00BD21D3"/>
    <w:rsid w:val="00BD2580"/>
    <w:rsid w:val="00BD44CC"/>
    <w:rsid w:val="00BD4AE8"/>
    <w:rsid w:val="00BD795A"/>
    <w:rsid w:val="00BD7D6D"/>
    <w:rsid w:val="00BE1888"/>
    <w:rsid w:val="00BE3A9F"/>
    <w:rsid w:val="00BE529A"/>
    <w:rsid w:val="00BE56FC"/>
    <w:rsid w:val="00BE7707"/>
    <w:rsid w:val="00BE7DA5"/>
    <w:rsid w:val="00BF3BE3"/>
    <w:rsid w:val="00BF4CBA"/>
    <w:rsid w:val="00C025F2"/>
    <w:rsid w:val="00C03181"/>
    <w:rsid w:val="00C031BB"/>
    <w:rsid w:val="00C0377A"/>
    <w:rsid w:val="00C04834"/>
    <w:rsid w:val="00C05296"/>
    <w:rsid w:val="00C05392"/>
    <w:rsid w:val="00C05B46"/>
    <w:rsid w:val="00C07708"/>
    <w:rsid w:val="00C122BF"/>
    <w:rsid w:val="00C13218"/>
    <w:rsid w:val="00C169B5"/>
    <w:rsid w:val="00C17C37"/>
    <w:rsid w:val="00C20061"/>
    <w:rsid w:val="00C211AB"/>
    <w:rsid w:val="00C22AFD"/>
    <w:rsid w:val="00C23B8C"/>
    <w:rsid w:val="00C23B8E"/>
    <w:rsid w:val="00C260B0"/>
    <w:rsid w:val="00C27FDA"/>
    <w:rsid w:val="00C31841"/>
    <w:rsid w:val="00C33AFB"/>
    <w:rsid w:val="00C3474F"/>
    <w:rsid w:val="00C35A15"/>
    <w:rsid w:val="00C408CF"/>
    <w:rsid w:val="00C4134A"/>
    <w:rsid w:val="00C41558"/>
    <w:rsid w:val="00C425E9"/>
    <w:rsid w:val="00C42657"/>
    <w:rsid w:val="00C44704"/>
    <w:rsid w:val="00C4548B"/>
    <w:rsid w:val="00C45B16"/>
    <w:rsid w:val="00C463C3"/>
    <w:rsid w:val="00C47356"/>
    <w:rsid w:val="00C50147"/>
    <w:rsid w:val="00C509EE"/>
    <w:rsid w:val="00C52503"/>
    <w:rsid w:val="00C5560A"/>
    <w:rsid w:val="00C56573"/>
    <w:rsid w:val="00C6043D"/>
    <w:rsid w:val="00C610A9"/>
    <w:rsid w:val="00C61ECF"/>
    <w:rsid w:val="00C63C79"/>
    <w:rsid w:val="00C64FFB"/>
    <w:rsid w:val="00C65F71"/>
    <w:rsid w:val="00C670AE"/>
    <w:rsid w:val="00C67461"/>
    <w:rsid w:val="00C676D1"/>
    <w:rsid w:val="00C679C3"/>
    <w:rsid w:val="00C70515"/>
    <w:rsid w:val="00C7107D"/>
    <w:rsid w:val="00C73172"/>
    <w:rsid w:val="00C76236"/>
    <w:rsid w:val="00C7673F"/>
    <w:rsid w:val="00C76C7D"/>
    <w:rsid w:val="00C7794C"/>
    <w:rsid w:val="00C829EF"/>
    <w:rsid w:val="00C85E52"/>
    <w:rsid w:val="00C86719"/>
    <w:rsid w:val="00C8755B"/>
    <w:rsid w:val="00C90DA9"/>
    <w:rsid w:val="00C91671"/>
    <w:rsid w:val="00C924D5"/>
    <w:rsid w:val="00C92579"/>
    <w:rsid w:val="00C929D2"/>
    <w:rsid w:val="00C92B79"/>
    <w:rsid w:val="00C93143"/>
    <w:rsid w:val="00C95B4B"/>
    <w:rsid w:val="00C95EE4"/>
    <w:rsid w:val="00C9713F"/>
    <w:rsid w:val="00CA04BB"/>
    <w:rsid w:val="00CA0DBB"/>
    <w:rsid w:val="00CA18B0"/>
    <w:rsid w:val="00CA2403"/>
    <w:rsid w:val="00CA48E9"/>
    <w:rsid w:val="00CB00B2"/>
    <w:rsid w:val="00CB09AB"/>
    <w:rsid w:val="00CB3A10"/>
    <w:rsid w:val="00CB5424"/>
    <w:rsid w:val="00CB6A2F"/>
    <w:rsid w:val="00CB6A74"/>
    <w:rsid w:val="00CB789F"/>
    <w:rsid w:val="00CC01F3"/>
    <w:rsid w:val="00CC0E55"/>
    <w:rsid w:val="00CC2C76"/>
    <w:rsid w:val="00CC437D"/>
    <w:rsid w:val="00CC4823"/>
    <w:rsid w:val="00CC5E43"/>
    <w:rsid w:val="00CC5F98"/>
    <w:rsid w:val="00CD2214"/>
    <w:rsid w:val="00CD26B8"/>
    <w:rsid w:val="00CD3AFA"/>
    <w:rsid w:val="00CD7B40"/>
    <w:rsid w:val="00CE0B3F"/>
    <w:rsid w:val="00CE1726"/>
    <w:rsid w:val="00CE304F"/>
    <w:rsid w:val="00CE30B5"/>
    <w:rsid w:val="00CE4E5F"/>
    <w:rsid w:val="00CE6C35"/>
    <w:rsid w:val="00CE78DA"/>
    <w:rsid w:val="00CE7D6D"/>
    <w:rsid w:val="00CF2F13"/>
    <w:rsid w:val="00CF6DA0"/>
    <w:rsid w:val="00D004EE"/>
    <w:rsid w:val="00D06A43"/>
    <w:rsid w:val="00D07C5E"/>
    <w:rsid w:val="00D10346"/>
    <w:rsid w:val="00D14165"/>
    <w:rsid w:val="00D16E07"/>
    <w:rsid w:val="00D21D55"/>
    <w:rsid w:val="00D2250C"/>
    <w:rsid w:val="00D226C1"/>
    <w:rsid w:val="00D25303"/>
    <w:rsid w:val="00D27E86"/>
    <w:rsid w:val="00D30CBD"/>
    <w:rsid w:val="00D30E44"/>
    <w:rsid w:val="00D31A57"/>
    <w:rsid w:val="00D35298"/>
    <w:rsid w:val="00D356CB"/>
    <w:rsid w:val="00D35AD6"/>
    <w:rsid w:val="00D35F57"/>
    <w:rsid w:val="00D4328F"/>
    <w:rsid w:val="00D477D6"/>
    <w:rsid w:val="00D50059"/>
    <w:rsid w:val="00D51DFC"/>
    <w:rsid w:val="00D52C3F"/>
    <w:rsid w:val="00D55C5F"/>
    <w:rsid w:val="00D60BF8"/>
    <w:rsid w:val="00D613A7"/>
    <w:rsid w:val="00D614D3"/>
    <w:rsid w:val="00D615E7"/>
    <w:rsid w:val="00D64BCE"/>
    <w:rsid w:val="00D6762D"/>
    <w:rsid w:val="00D67BF7"/>
    <w:rsid w:val="00D71099"/>
    <w:rsid w:val="00D72EA1"/>
    <w:rsid w:val="00D72F6D"/>
    <w:rsid w:val="00D736EC"/>
    <w:rsid w:val="00D7390F"/>
    <w:rsid w:val="00D75E3B"/>
    <w:rsid w:val="00D76CCE"/>
    <w:rsid w:val="00D80E77"/>
    <w:rsid w:val="00D83C08"/>
    <w:rsid w:val="00D84A2A"/>
    <w:rsid w:val="00D84CDE"/>
    <w:rsid w:val="00D85A92"/>
    <w:rsid w:val="00D86315"/>
    <w:rsid w:val="00D872F6"/>
    <w:rsid w:val="00D8749E"/>
    <w:rsid w:val="00D87B53"/>
    <w:rsid w:val="00D906A3"/>
    <w:rsid w:val="00D92AE9"/>
    <w:rsid w:val="00D93FD6"/>
    <w:rsid w:val="00D9642F"/>
    <w:rsid w:val="00DA02D7"/>
    <w:rsid w:val="00DA27E7"/>
    <w:rsid w:val="00DA5629"/>
    <w:rsid w:val="00DA7AE9"/>
    <w:rsid w:val="00DB000D"/>
    <w:rsid w:val="00DB0496"/>
    <w:rsid w:val="00DB0786"/>
    <w:rsid w:val="00DB07A1"/>
    <w:rsid w:val="00DB1C18"/>
    <w:rsid w:val="00DB68E0"/>
    <w:rsid w:val="00DB6DFA"/>
    <w:rsid w:val="00DB6FDD"/>
    <w:rsid w:val="00DB7FC7"/>
    <w:rsid w:val="00DC0C92"/>
    <w:rsid w:val="00DC1918"/>
    <w:rsid w:val="00DC1F9B"/>
    <w:rsid w:val="00DC2151"/>
    <w:rsid w:val="00DC241E"/>
    <w:rsid w:val="00DC3D93"/>
    <w:rsid w:val="00DC50BE"/>
    <w:rsid w:val="00DC6DCA"/>
    <w:rsid w:val="00DC70A1"/>
    <w:rsid w:val="00DC7F12"/>
    <w:rsid w:val="00DD2755"/>
    <w:rsid w:val="00DD3623"/>
    <w:rsid w:val="00DD5A5D"/>
    <w:rsid w:val="00DD660D"/>
    <w:rsid w:val="00DE03F1"/>
    <w:rsid w:val="00DE0C31"/>
    <w:rsid w:val="00DE24A2"/>
    <w:rsid w:val="00DE4784"/>
    <w:rsid w:val="00DE52E5"/>
    <w:rsid w:val="00DE63AD"/>
    <w:rsid w:val="00DE77C6"/>
    <w:rsid w:val="00DE78B0"/>
    <w:rsid w:val="00DF0FCF"/>
    <w:rsid w:val="00DF23FA"/>
    <w:rsid w:val="00DF3C92"/>
    <w:rsid w:val="00DF44E4"/>
    <w:rsid w:val="00DF45AD"/>
    <w:rsid w:val="00DF64F8"/>
    <w:rsid w:val="00DF654A"/>
    <w:rsid w:val="00DF681C"/>
    <w:rsid w:val="00DF7F2B"/>
    <w:rsid w:val="00E01762"/>
    <w:rsid w:val="00E01AA2"/>
    <w:rsid w:val="00E04D88"/>
    <w:rsid w:val="00E05830"/>
    <w:rsid w:val="00E065BE"/>
    <w:rsid w:val="00E07035"/>
    <w:rsid w:val="00E0776E"/>
    <w:rsid w:val="00E10611"/>
    <w:rsid w:val="00E106B6"/>
    <w:rsid w:val="00E11D54"/>
    <w:rsid w:val="00E12151"/>
    <w:rsid w:val="00E1305C"/>
    <w:rsid w:val="00E1453A"/>
    <w:rsid w:val="00E145B2"/>
    <w:rsid w:val="00E1549F"/>
    <w:rsid w:val="00E1562F"/>
    <w:rsid w:val="00E169E8"/>
    <w:rsid w:val="00E2017F"/>
    <w:rsid w:val="00E21E86"/>
    <w:rsid w:val="00E2247A"/>
    <w:rsid w:val="00E24FCE"/>
    <w:rsid w:val="00E26776"/>
    <w:rsid w:val="00E27CEC"/>
    <w:rsid w:val="00E3098F"/>
    <w:rsid w:val="00E335F5"/>
    <w:rsid w:val="00E34957"/>
    <w:rsid w:val="00E36239"/>
    <w:rsid w:val="00E37990"/>
    <w:rsid w:val="00E400CD"/>
    <w:rsid w:val="00E40A07"/>
    <w:rsid w:val="00E44656"/>
    <w:rsid w:val="00E44C40"/>
    <w:rsid w:val="00E46935"/>
    <w:rsid w:val="00E53486"/>
    <w:rsid w:val="00E57544"/>
    <w:rsid w:val="00E63F06"/>
    <w:rsid w:val="00E66B47"/>
    <w:rsid w:val="00E676DF"/>
    <w:rsid w:val="00E70247"/>
    <w:rsid w:val="00E71027"/>
    <w:rsid w:val="00E76F3B"/>
    <w:rsid w:val="00E77168"/>
    <w:rsid w:val="00E77F85"/>
    <w:rsid w:val="00E81692"/>
    <w:rsid w:val="00E81721"/>
    <w:rsid w:val="00E82D67"/>
    <w:rsid w:val="00E845E0"/>
    <w:rsid w:val="00E84A56"/>
    <w:rsid w:val="00E8731B"/>
    <w:rsid w:val="00E911BC"/>
    <w:rsid w:val="00E91B06"/>
    <w:rsid w:val="00E928DD"/>
    <w:rsid w:val="00E9357F"/>
    <w:rsid w:val="00E96A63"/>
    <w:rsid w:val="00EA293D"/>
    <w:rsid w:val="00EA3CDC"/>
    <w:rsid w:val="00EA75BA"/>
    <w:rsid w:val="00EA7B73"/>
    <w:rsid w:val="00EA7C31"/>
    <w:rsid w:val="00EB0605"/>
    <w:rsid w:val="00EB315B"/>
    <w:rsid w:val="00EB48F4"/>
    <w:rsid w:val="00EB6538"/>
    <w:rsid w:val="00EC056E"/>
    <w:rsid w:val="00EC0D47"/>
    <w:rsid w:val="00EC4EA6"/>
    <w:rsid w:val="00EC7DD4"/>
    <w:rsid w:val="00ED1EDD"/>
    <w:rsid w:val="00ED2B96"/>
    <w:rsid w:val="00ED4694"/>
    <w:rsid w:val="00ED771B"/>
    <w:rsid w:val="00EE2A47"/>
    <w:rsid w:val="00EE3CB5"/>
    <w:rsid w:val="00EE4743"/>
    <w:rsid w:val="00EE7F2C"/>
    <w:rsid w:val="00EF4CBA"/>
    <w:rsid w:val="00F000E7"/>
    <w:rsid w:val="00F02F6D"/>
    <w:rsid w:val="00F0362E"/>
    <w:rsid w:val="00F05A9B"/>
    <w:rsid w:val="00F06321"/>
    <w:rsid w:val="00F06A08"/>
    <w:rsid w:val="00F073A6"/>
    <w:rsid w:val="00F07AFA"/>
    <w:rsid w:val="00F103F6"/>
    <w:rsid w:val="00F132A2"/>
    <w:rsid w:val="00F135CA"/>
    <w:rsid w:val="00F13F85"/>
    <w:rsid w:val="00F1674D"/>
    <w:rsid w:val="00F17808"/>
    <w:rsid w:val="00F20872"/>
    <w:rsid w:val="00F2195E"/>
    <w:rsid w:val="00F22B9C"/>
    <w:rsid w:val="00F23621"/>
    <w:rsid w:val="00F24E35"/>
    <w:rsid w:val="00F25816"/>
    <w:rsid w:val="00F2681E"/>
    <w:rsid w:val="00F26EA0"/>
    <w:rsid w:val="00F3009C"/>
    <w:rsid w:val="00F31F8E"/>
    <w:rsid w:val="00F32083"/>
    <w:rsid w:val="00F32269"/>
    <w:rsid w:val="00F325F1"/>
    <w:rsid w:val="00F32B9F"/>
    <w:rsid w:val="00F32D97"/>
    <w:rsid w:val="00F371D6"/>
    <w:rsid w:val="00F37AC0"/>
    <w:rsid w:val="00F40512"/>
    <w:rsid w:val="00F40EBD"/>
    <w:rsid w:val="00F40F7C"/>
    <w:rsid w:val="00F411B6"/>
    <w:rsid w:val="00F4269B"/>
    <w:rsid w:val="00F42B95"/>
    <w:rsid w:val="00F44AE8"/>
    <w:rsid w:val="00F45192"/>
    <w:rsid w:val="00F47847"/>
    <w:rsid w:val="00F51F3E"/>
    <w:rsid w:val="00F52ED1"/>
    <w:rsid w:val="00F5603A"/>
    <w:rsid w:val="00F62C09"/>
    <w:rsid w:val="00F63681"/>
    <w:rsid w:val="00F638B0"/>
    <w:rsid w:val="00F67618"/>
    <w:rsid w:val="00F709F5"/>
    <w:rsid w:val="00F70D12"/>
    <w:rsid w:val="00F70E64"/>
    <w:rsid w:val="00F714BB"/>
    <w:rsid w:val="00F71568"/>
    <w:rsid w:val="00F71857"/>
    <w:rsid w:val="00F72654"/>
    <w:rsid w:val="00F73B5C"/>
    <w:rsid w:val="00F76AB1"/>
    <w:rsid w:val="00F802D6"/>
    <w:rsid w:val="00F80A15"/>
    <w:rsid w:val="00F822D2"/>
    <w:rsid w:val="00F82FEA"/>
    <w:rsid w:val="00F83DB2"/>
    <w:rsid w:val="00F83E39"/>
    <w:rsid w:val="00F86532"/>
    <w:rsid w:val="00F9067F"/>
    <w:rsid w:val="00F93421"/>
    <w:rsid w:val="00F94D78"/>
    <w:rsid w:val="00F978F6"/>
    <w:rsid w:val="00FA0080"/>
    <w:rsid w:val="00FA62B4"/>
    <w:rsid w:val="00FA75E6"/>
    <w:rsid w:val="00FB09A2"/>
    <w:rsid w:val="00FB17B4"/>
    <w:rsid w:val="00FB37BB"/>
    <w:rsid w:val="00FB3A98"/>
    <w:rsid w:val="00FB3FF5"/>
    <w:rsid w:val="00FB4323"/>
    <w:rsid w:val="00FB6703"/>
    <w:rsid w:val="00FC16B1"/>
    <w:rsid w:val="00FC204F"/>
    <w:rsid w:val="00FC2EFF"/>
    <w:rsid w:val="00FC4437"/>
    <w:rsid w:val="00FC56D5"/>
    <w:rsid w:val="00FC7683"/>
    <w:rsid w:val="00FC7B89"/>
    <w:rsid w:val="00FD0311"/>
    <w:rsid w:val="00FD11ED"/>
    <w:rsid w:val="00FD19EE"/>
    <w:rsid w:val="00FD24F3"/>
    <w:rsid w:val="00FD3268"/>
    <w:rsid w:val="00FD5940"/>
    <w:rsid w:val="00FD7A39"/>
    <w:rsid w:val="00FE0D2B"/>
    <w:rsid w:val="00FF16C1"/>
    <w:rsid w:val="00FF25C8"/>
    <w:rsid w:val="00FF2C37"/>
    <w:rsid w:val="00FF3DA9"/>
    <w:rsid w:val="00FF5DF7"/>
    <w:rsid w:val="00FF5EB8"/>
    <w:rsid w:val="00FF7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colormru v:ext="edit" colors="#333"/>
    </o:shapedefaults>
    <o:shapelayout v:ext="edit">
      <o:idmap v:ext="edit" data="1"/>
    </o:shapelayout>
  </w:shapeDefaults>
  <w:decimalSymbol w:val="."/>
  <w:listSeparator w:val=","/>
  <w15:docId w15:val="{7DDD41D3-2FC7-446F-95DB-4B2DAD69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BFF"/>
    <w:pPr>
      <w:spacing w:before="120" w:after="60"/>
    </w:pPr>
    <w:rPr>
      <w:rFonts w:asciiTheme="minorHAnsi" w:hAnsiTheme="minorHAnsi"/>
      <w:bCs/>
      <w:sz w:val="22"/>
      <w:szCs w:val="24"/>
      <w:lang w:eastAsia="en-US"/>
    </w:rPr>
  </w:style>
  <w:style w:type="paragraph" w:styleId="Heading1">
    <w:name w:val="heading 1"/>
    <w:basedOn w:val="Normal"/>
    <w:next w:val="Normal"/>
    <w:link w:val="Heading1Char"/>
    <w:qFormat/>
    <w:rsid w:val="00E34957"/>
    <w:pPr>
      <w:keepNext/>
      <w:spacing w:line="276" w:lineRule="auto"/>
      <w:outlineLvl w:val="0"/>
    </w:pPr>
    <w:rPr>
      <w:rFonts w:ascii="Chalet-NewYorkNineteenSixty" w:hAnsi="Chalet-NewYorkNineteenSixty" w:cs="Arial"/>
      <w:bCs w:val="0"/>
      <w:color w:val="C00000"/>
      <w:kern w:val="32"/>
      <w:szCs w:val="28"/>
    </w:rPr>
  </w:style>
  <w:style w:type="paragraph" w:styleId="Heading2">
    <w:name w:val="heading 2"/>
    <w:basedOn w:val="Normal"/>
    <w:next w:val="Normal"/>
    <w:qFormat/>
    <w:rsid w:val="00F40EBD"/>
    <w:pPr>
      <w:keepNext/>
      <w:spacing w:before="240"/>
      <w:ind w:left="567" w:hanging="567"/>
      <w:outlineLvl w:val="1"/>
    </w:pPr>
    <w:rPr>
      <w:rFonts w:ascii="Chalet-ParisNineteenSixty" w:hAnsi="Chalet-ParisNineteenSixty" w:cs="Calibri"/>
      <w:bCs w:val="0"/>
      <w:iCs/>
      <w:color w:val="C00000"/>
      <w:sz w:val="40"/>
      <w:szCs w:val="40"/>
    </w:rPr>
  </w:style>
  <w:style w:type="paragraph" w:styleId="Heading3">
    <w:name w:val="heading 3"/>
    <w:basedOn w:val="ListParagraph"/>
    <w:next w:val="Normal"/>
    <w:qFormat/>
    <w:rsid w:val="00E34957"/>
    <w:pPr>
      <w:ind w:left="0"/>
      <w:outlineLvl w:val="2"/>
    </w:pPr>
    <w:rPr>
      <w:rFonts w:ascii="Chalet-ParisNineteenSixty" w:hAnsi="Chalet-ParisNineteenSixty" w:cs="Arial"/>
      <w:b/>
      <w:bCs w:val="0"/>
      <w:color w:val="C00000"/>
    </w:rPr>
  </w:style>
  <w:style w:type="paragraph" w:styleId="Heading4">
    <w:name w:val="heading 4"/>
    <w:basedOn w:val="ListParagraph"/>
    <w:next w:val="Normal"/>
    <w:qFormat/>
    <w:rsid w:val="00953F0E"/>
    <w:pPr>
      <w:ind w:left="-180" w:hanging="720"/>
      <w:outlineLvl w:val="3"/>
    </w:pPr>
    <w:rPr>
      <w:rFonts w:ascii="Chalet-ParisNineteenSixty" w:hAnsi="Chalet-ParisNineteenSixty"/>
      <w:b/>
      <w:sz w:val="28"/>
      <w:szCs w:val="28"/>
    </w:rPr>
  </w:style>
  <w:style w:type="paragraph" w:styleId="Heading5">
    <w:name w:val="heading 5"/>
    <w:basedOn w:val="Normal"/>
    <w:next w:val="Normal"/>
    <w:qFormat/>
    <w:rsid w:val="00CC5E43"/>
    <w:pPr>
      <w:spacing w:before="240"/>
      <w:ind w:left="1008" w:hanging="1008"/>
      <w:outlineLvl w:val="4"/>
    </w:pPr>
    <w:rPr>
      <w:b/>
      <w:bCs w:val="0"/>
      <w:iCs/>
      <w:szCs w:val="22"/>
    </w:rPr>
  </w:style>
  <w:style w:type="paragraph" w:styleId="Heading6">
    <w:name w:val="heading 6"/>
    <w:basedOn w:val="Normal"/>
    <w:next w:val="Normal"/>
    <w:qFormat/>
    <w:rsid w:val="00CD7B40"/>
    <w:pPr>
      <w:numPr>
        <w:ilvl w:val="5"/>
        <w:numId w:val="11"/>
      </w:numPr>
      <w:spacing w:after="120"/>
      <w:outlineLvl w:val="5"/>
    </w:pPr>
    <w:rPr>
      <w:b/>
      <w:sz w:val="26"/>
      <w:szCs w:val="26"/>
    </w:rPr>
  </w:style>
  <w:style w:type="paragraph" w:styleId="Heading7">
    <w:name w:val="heading 7"/>
    <w:basedOn w:val="Normal"/>
    <w:next w:val="Normal"/>
    <w:qFormat/>
    <w:rsid w:val="0049423E"/>
    <w:pPr>
      <w:numPr>
        <w:ilvl w:val="6"/>
        <w:numId w:val="11"/>
      </w:numPr>
      <w:spacing w:before="240"/>
      <w:outlineLvl w:val="6"/>
    </w:pPr>
  </w:style>
  <w:style w:type="paragraph" w:styleId="Heading8">
    <w:name w:val="heading 8"/>
    <w:basedOn w:val="Normal"/>
    <w:next w:val="Normal"/>
    <w:qFormat/>
    <w:rsid w:val="0049423E"/>
    <w:pPr>
      <w:numPr>
        <w:ilvl w:val="7"/>
        <w:numId w:val="11"/>
      </w:numPr>
      <w:spacing w:before="240"/>
      <w:outlineLvl w:val="7"/>
    </w:pPr>
    <w:rPr>
      <w:i/>
      <w:iCs/>
    </w:rPr>
  </w:style>
  <w:style w:type="paragraph" w:styleId="Heading9">
    <w:name w:val="heading 9"/>
    <w:basedOn w:val="Normal"/>
    <w:next w:val="Normal"/>
    <w:qFormat/>
    <w:rsid w:val="0049423E"/>
    <w:pPr>
      <w:numPr>
        <w:ilvl w:val="8"/>
        <w:numId w:val="11"/>
      </w:numPr>
      <w:spacing w:before="24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0177"/>
    <w:pPr>
      <w:tabs>
        <w:tab w:val="center" w:pos="4320"/>
        <w:tab w:val="right" w:pos="8640"/>
      </w:tabs>
    </w:pPr>
  </w:style>
  <w:style w:type="paragraph" w:styleId="Footer">
    <w:name w:val="footer"/>
    <w:basedOn w:val="Normal"/>
    <w:link w:val="FooterChar"/>
    <w:uiPriority w:val="99"/>
    <w:rsid w:val="00AA0177"/>
    <w:pPr>
      <w:tabs>
        <w:tab w:val="center" w:pos="4320"/>
        <w:tab w:val="right" w:pos="8640"/>
      </w:tabs>
    </w:pPr>
  </w:style>
  <w:style w:type="character" w:styleId="FollowedHyperlink">
    <w:name w:val="FollowedHyperlink"/>
    <w:rsid w:val="00827934"/>
    <w:rPr>
      <w:color w:val="0000FF"/>
      <w:u w:val="single"/>
    </w:rPr>
  </w:style>
  <w:style w:type="paragraph" w:styleId="BalloonText">
    <w:name w:val="Balloon Text"/>
    <w:basedOn w:val="Normal"/>
    <w:semiHidden/>
    <w:rsid w:val="0049423E"/>
    <w:rPr>
      <w:rFonts w:ascii="Tahoma" w:hAnsi="Tahoma" w:cs="Tahoma"/>
      <w:sz w:val="16"/>
      <w:szCs w:val="16"/>
    </w:rPr>
  </w:style>
  <w:style w:type="paragraph" w:styleId="BlockText">
    <w:name w:val="Block Text"/>
    <w:basedOn w:val="Normal"/>
    <w:rsid w:val="0049423E"/>
    <w:pPr>
      <w:spacing w:after="120"/>
      <w:ind w:left="1440" w:right="1440"/>
    </w:pPr>
  </w:style>
  <w:style w:type="paragraph" w:styleId="BodyText">
    <w:name w:val="Body Text"/>
    <w:basedOn w:val="Normal"/>
    <w:rsid w:val="0049423E"/>
    <w:pPr>
      <w:spacing w:after="120"/>
    </w:pPr>
  </w:style>
  <w:style w:type="paragraph" w:styleId="BodyText2">
    <w:name w:val="Body Text 2"/>
    <w:basedOn w:val="Normal"/>
    <w:rsid w:val="0049423E"/>
    <w:pPr>
      <w:spacing w:after="120" w:line="480" w:lineRule="auto"/>
    </w:pPr>
  </w:style>
  <w:style w:type="paragraph" w:styleId="BodyText3">
    <w:name w:val="Body Text 3"/>
    <w:basedOn w:val="Normal"/>
    <w:rsid w:val="0049423E"/>
    <w:pPr>
      <w:spacing w:after="120"/>
    </w:pPr>
    <w:rPr>
      <w:sz w:val="16"/>
      <w:szCs w:val="16"/>
    </w:rPr>
  </w:style>
  <w:style w:type="paragraph" w:styleId="BodyTextFirstIndent">
    <w:name w:val="Body Text First Indent"/>
    <w:basedOn w:val="BodyText"/>
    <w:rsid w:val="0049423E"/>
    <w:pPr>
      <w:ind w:firstLine="210"/>
    </w:pPr>
  </w:style>
  <w:style w:type="paragraph" w:styleId="BodyTextIndent">
    <w:name w:val="Body Text Indent"/>
    <w:basedOn w:val="Normal"/>
    <w:rsid w:val="0049423E"/>
    <w:pPr>
      <w:spacing w:after="120"/>
      <w:ind w:left="283"/>
    </w:pPr>
  </w:style>
  <w:style w:type="paragraph" w:styleId="BodyTextFirstIndent2">
    <w:name w:val="Body Text First Indent 2"/>
    <w:basedOn w:val="BodyTextIndent"/>
    <w:rsid w:val="0049423E"/>
    <w:pPr>
      <w:ind w:firstLine="210"/>
    </w:pPr>
  </w:style>
  <w:style w:type="paragraph" w:styleId="BodyTextIndent2">
    <w:name w:val="Body Text Indent 2"/>
    <w:basedOn w:val="Normal"/>
    <w:rsid w:val="0049423E"/>
    <w:pPr>
      <w:spacing w:after="120" w:line="480" w:lineRule="auto"/>
      <w:ind w:left="283"/>
    </w:pPr>
  </w:style>
  <w:style w:type="paragraph" w:styleId="BodyTextIndent3">
    <w:name w:val="Body Text Indent 3"/>
    <w:basedOn w:val="Normal"/>
    <w:rsid w:val="0049423E"/>
    <w:pPr>
      <w:spacing w:after="120"/>
      <w:ind w:left="283"/>
    </w:pPr>
    <w:rPr>
      <w:sz w:val="16"/>
      <w:szCs w:val="16"/>
    </w:rPr>
  </w:style>
  <w:style w:type="paragraph" w:styleId="Caption">
    <w:name w:val="caption"/>
    <w:basedOn w:val="Normal"/>
    <w:next w:val="Normal"/>
    <w:qFormat/>
    <w:rsid w:val="0049423E"/>
    <w:rPr>
      <w:b/>
      <w:bCs w:val="0"/>
      <w:sz w:val="20"/>
      <w:szCs w:val="20"/>
    </w:rPr>
  </w:style>
  <w:style w:type="paragraph" w:styleId="Closing">
    <w:name w:val="Closing"/>
    <w:basedOn w:val="Normal"/>
    <w:rsid w:val="0049423E"/>
    <w:pPr>
      <w:ind w:left="4252"/>
    </w:pPr>
  </w:style>
  <w:style w:type="paragraph" w:styleId="CommentText">
    <w:name w:val="annotation text"/>
    <w:basedOn w:val="Normal"/>
    <w:semiHidden/>
    <w:rsid w:val="0049423E"/>
    <w:rPr>
      <w:sz w:val="20"/>
      <w:szCs w:val="20"/>
    </w:rPr>
  </w:style>
  <w:style w:type="paragraph" w:styleId="CommentSubject">
    <w:name w:val="annotation subject"/>
    <w:basedOn w:val="CommentText"/>
    <w:next w:val="CommentText"/>
    <w:semiHidden/>
    <w:rsid w:val="0049423E"/>
    <w:rPr>
      <w:b/>
      <w:bCs w:val="0"/>
    </w:rPr>
  </w:style>
  <w:style w:type="paragraph" w:styleId="Date">
    <w:name w:val="Date"/>
    <w:basedOn w:val="Normal"/>
    <w:next w:val="Normal"/>
    <w:rsid w:val="0049423E"/>
  </w:style>
  <w:style w:type="paragraph" w:styleId="DocumentMap">
    <w:name w:val="Document Map"/>
    <w:basedOn w:val="Normal"/>
    <w:semiHidden/>
    <w:rsid w:val="0049423E"/>
    <w:pPr>
      <w:shd w:val="clear" w:color="auto" w:fill="000080"/>
    </w:pPr>
    <w:rPr>
      <w:rFonts w:ascii="Tahoma" w:hAnsi="Tahoma" w:cs="Tahoma"/>
      <w:sz w:val="20"/>
      <w:szCs w:val="20"/>
    </w:rPr>
  </w:style>
  <w:style w:type="paragraph" w:styleId="E-mailSignature">
    <w:name w:val="E-mail Signature"/>
    <w:basedOn w:val="Normal"/>
    <w:rsid w:val="0049423E"/>
  </w:style>
  <w:style w:type="paragraph" w:styleId="EndnoteText">
    <w:name w:val="endnote text"/>
    <w:basedOn w:val="Normal"/>
    <w:semiHidden/>
    <w:rsid w:val="0049423E"/>
    <w:rPr>
      <w:sz w:val="20"/>
      <w:szCs w:val="20"/>
    </w:rPr>
  </w:style>
  <w:style w:type="paragraph" w:styleId="EnvelopeAddress">
    <w:name w:val="envelope address"/>
    <w:basedOn w:val="Normal"/>
    <w:rsid w:val="0049423E"/>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49423E"/>
    <w:rPr>
      <w:rFonts w:ascii="Arial" w:hAnsi="Arial" w:cs="Arial"/>
      <w:sz w:val="20"/>
      <w:szCs w:val="20"/>
    </w:rPr>
  </w:style>
  <w:style w:type="paragraph" w:styleId="FootnoteText">
    <w:name w:val="footnote text"/>
    <w:aliases w:val="Footnote Text Char Char Char,Footnote Text Char Char,Footnote Text Char1,Footnote Text Char2 Char,Footnote Text Char1 Char Char1,Footnote Text Char Char Char Char1,Footnote Text Char Char1 Char1,Footnote Text Char1 Char"/>
    <w:basedOn w:val="Normal"/>
    <w:link w:val="FootnoteTextChar"/>
    <w:uiPriority w:val="99"/>
    <w:rsid w:val="00C4134A"/>
    <w:rPr>
      <w:sz w:val="18"/>
      <w:szCs w:val="20"/>
    </w:rPr>
  </w:style>
  <w:style w:type="paragraph" w:styleId="HTMLAddress">
    <w:name w:val="HTML Address"/>
    <w:basedOn w:val="Normal"/>
    <w:rsid w:val="0049423E"/>
    <w:rPr>
      <w:i/>
      <w:iCs/>
    </w:rPr>
  </w:style>
  <w:style w:type="paragraph" w:styleId="HTMLPreformatted">
    <w:name w:val="HTML Preformatted"/>
    <w:basedOn w:val="Normal"/>
    <w:rsid w:val="0049423E"/>
    <w:rPr>
      <w:rFonts w:ascii="Courier New" w:hAnsi="Courier New" w:cs="Courier New"/>
      <w:sz w:val="20"/>
      <w:szCs w:val="20"/>
    </w:rPr>
  </w:style>
  <w:style w:type="paragraph" w:styleId="Index1">
    <w:name w:val="index 1"/>
    <w:basedOn w:val="Normal"/>
    <w:next w:val="Normal"/>
    <w:autoRedefine/>
    <w:semiHidden/>
    <w:rsid w:val="0049423E"/>
    <w:pPr>
      <w:ind w:left="240" w:hanging="240"/>
    </w:pPr>
  </w:style>
  <w:style w:type="paragraph" w:styleId="Index2">
    <w:name w:val="index 2"/>
    <w:basedOn w:val="Normal"/>
    <w:next w:val="Normal"/>
    <w:autoRedefine/>
    <w:semiHidden/>
    <w:rsid w:val="0049423E"/>
    <w:pPr>
      <w:ind w:left="480" w:hanging="240"/>
    </w:pPr>
  </w:style>
  <w:style w:type="paragraph" w:styleId="Index3">
    <w:name w:val="index 3"/>
    <w:basedOn w:val="Normal"/>
    <w:next w:val="Normal"/>
    <w:autoRedefine/>
    <w:semiHidden/>
    <w:rsid w:val="0049423E"/>
    <w:pPr>
      <w:ind w:left="720" w:hanging="240"/>
    </w:pPr>
  </w:style>
  <w:style w:type="paragraph" w:styleId="Index4">
    <w:name w:val="index 4"/>
    <w:basedOn w:val="Normal"/>
    <w:next w:val="Normal"/>
    <w:autoRedefine/>
    <w:semiHidden/>
    <w:rsid w:val="0049423E"/>
    <w:pPr>
      <w:ind w:left="960" w:hanging="240"/>
    </w:pPr>
  </w:style>
  <w:style w:type="paragraph" w:styleId="Index5">
    <w:name w:val="index 5"/>
    <w:basedOn w:val="Normal"/>
    <w:next w:val="Normal"/>
    <w:autoRedefine/>
    <w:semiHidden/>
    <w:rsid w:val="0049423E"/>
    <w:pPr>
      <w:ind w:left="1200" w:hanging="240"/>
    </w:pPr>
  </w:style>
  <w:style w:type="paragraph" w:styleId="Index6">
    <w:name w:val="index 6"/>
    <w:basedOn w:val="Normal"/>
    <w:next w:val="Normal"/>
    <w:autoRedefine/>
    <w:semiHidden/>
    <w:rsid w:val="0049423E"/>
    <w:pPr>
      <w:ind w:left="1440" w:hanging="240"/>
    </w:pPr>
  </w:style>
  <w:style w:type="paragraph" w:styleId="Index7">
    <w:name w:val="index 7"/>
    <w:basedOn w:val="Normal"/>
    <w:next w:val="Normal"/>
    <w:autoRedefine/>
    <w:semiHidden/>
    <w:rsid w:val="0049423E"/>
    <w:pPr>
      <w:ind w:left="1680" w:hanging="240"/>
    </w:pPr>
  </w:style>
  <w:style w:type="paragraph" w:styleId="Index8">
    <w:name w:val="index 8"/>
    <w:basedOn w:val="Normal"/>
    <w:next w:val="Normal"/>
    <w:autoRedefine/>
    <w:semiHidden/>
    <w:rsid w:val="0049423E"/>
    <w:pPr>
      <w:ind w:left="1920" w:hanging="240"/>
    </w:pPr>
  </w:style>
  <w:style w:type="paragraph" w:styleId="Index9">
    <w:name w:val="index 9"/>
    <w:basedOn w:val="Normal"/>
    <w:next w:val="Normal"/>
    <w:autoRedefine/>
    <w:semiHidden/>
    <w:rsid w:val="0049423E"/>
    <w:pPr>
      <w:ind w:left="2160" w:hanging="240"/>
    </w:pPr>
  </w:style>
  <w:style w:type="paragraph" w:styleId="IndexHeading">
    <w:name w:val="index heading"/>
    <w:basedOn w:val="Normal"/>
    <w:next w:val="Index1"/>
    <w:semiHidden/>
    <w:rsid w:val="0049423E"/>
    <w:rPr>
      <w:rFonts w:ascii="Arial" w:hAnsi="Arial" w:cs="Arial"/>
      <w:b/>
      <w:bCs w:val="0"/>
    </w:rPr>
  </w:style>
  <w:style w:type="paragraph" w:styleId="List">
    <w:name w:val="List"/>
    <w:basedOn w:val="Normal"/>
    <w:rsid w:val="0049423E"/>
    <w:pPr>
      <w:ind w:left="283" w:hanging="283"/>
    </w:pPr>
  </w:style>
  <w:style w:type="paragraph" w:styleId="List2">
    <w:name w:val="List 2"/>
    <w:basedOn w:val="Normal"/>
    <w:rsid w:val="0049423E"/>
    <w:pPr>
      <w:ind w:left="566" w:hanging="283"/>
    </w:pPr>
  </w:style>
  <w:style w:type="paragraph" w:styleId="List3">
    <w:name w:val="List 3"/>
    <w:basedOn w:val="Normal"/>
    <w:rsid w:val="0049423E"/>
    <w:pPr>
      <w:ind w:left="849" w:hanging="283"/>
    </w:pPr>
  </w:style>
  <w:style w:type="paragraph" w:styleId="List4">
    <w:name w:val="List 4"/>
    <w:basedOn w:val="Normal"/>
    <w:rsid w:val="0049423E"/>
    <w:pPr>
      <w:ind w:left="1132" w:hanging="283"/>
    </w:pPr>
  </w:style>
  <w:style w:type="paragraph" w:styleId="List5">
    <w:name w:val="List 5"/>
    <w:basedOn w:val="Normal"/>
    <w:rsid w:val="0049423E"/>
    <w:pPr>
      <w:ind w:left="1415" w:hanging="283"/>
    </w:pPr>
  </w:style>
  <w:style w:type="paragraph" w:styleId="ListBullet">
    <w:name w:val="List Bullet"/>
    <w:basedOn w:val="Normal"/>
    <w:rsid w:val="0049423E"/>
    <w:pPr>
      <w:numPr>
        <w:numId w:val="1"/>
      </w:numPr>
    </w:pPr>
  </w:style>
  <w:style w:type="paragraph" w:styleId="ListBullet2">
    <w:name w:val="List Bullet 2"/>
    <w:basedOn w:val="Normal"/>
    <w:rsid w:val="0049423E"/>
    <w:pPr>
      <w:numPr>
        <w:numId w:val="2"/>
      </w:numPr>
    </w:pPr>
  </w:style>
  <w:style w:type="paragraph" w:styleId="ListBullet3">
    <w:name w:val="List Bullet 3"/>
    <w:basedOn w:val="Normal"/>
    <w:rsid w:val="0049423E"/>
    <w:pPr>
      <w:numPr>
        <w:numId w:val="3"/>
      </w:numPr>
    </w:pPr>
  </w:style>
  <w:style w:type="paragraph" w:styleId="ListBullet4">
    <w:name w:val="List Bullet 4"/>
    <w:basedOn w:val="Normal"/>
    <w:rsid w:val="0049423E"/>
    <w:pPr>
      <w:numPr>
        <w:numId w:val="4"/>
      </w:numPr>
    </w:pPr>
  </w:style>
  <w:style w:type="paragraph" w:styleId="ListBullet5">
    <w:name w:val="List Bullet 5"/>
    <w:basedOn w:val="Normal"/>
    <w:rsid w:val="0049423E"/>
    <w:pPr>
      <w:numPr>
        <w:numId w:val="5"/>
      </w:numPr>
    </w:pPr>
  </w:style>
  <w:style w:type="paragraph" w:styleId="ListContinue">
    <w:name w:val="List Continue"/>
    <w:basedOn w:val="Normal"/>
    <w:rsid w:val="0049423E"/>
    <w:pPr>
      <w:spacing w:after="120"/>
      <w:ind w:left="283"/>
    </w:pPr>
  </w:style>
  <w:style w:type="paragraph" w:styleId="ListContinue2">
    <w:name w:val="List Continue 2"/>
    <w:basedOn w:val="Normal"/>
    <w:rsid w:val="0049423E"/>
    <w:pPr>
      <w:spacing w:after="120"/>
      <w:ind w:left="566"/>
    </w:pPr>
  </w:style>
  <w:style w:type="paragraph" w:styleId="ListContinue3">
    <w:name w:val="List Continue 3"/>
    <w:basedOn w:val="Normal"/>
    <w:rsid w:val="0049423E"/>
    <w:pPr>
      <w:spacing w:after="120"/>
      <w:ind w:left="849"/>
    </w:pPr>
  </w:style>
  <w:style w:type="paragraph" w:styleId="ListContinue4">
    <w:name w:val="List Continue 4"/>
    <w:basedOn w:val="Normal"/>
    <w:rsid w:val="0049423E"/>
    <w:pPr>
      <w:spacing w:after="120"/>
      <w:ind w:left="1132"/>
    </w:pPr>
  </w:style>
  <w:style w:type="paragraph" w:styleId="ListContinue5">
    <w:name w:val="List Continue 5"/>
    <w:basedOn w:val="Normal"/>
    <w:rsid w:val="0049423E"/>
    <w:pPr>
      <w:spacing w:after="120"/>
      <w:ind w:left="1415"/>
    </w:pPr>
  </w:style>
  <w:style w:type="paragraph" w:styleId="ListNumber">
    <w:name w:val="List Number"/>
    <w:basedOn w:val="Normal"/>
    <w:rsid w:val="0049423E"/>
    <w:pPr>
      <w:numPr>
        <w:numId w:val="6"/>
      </w:numPr>
    </w:pPr>
  </w:style>
  <w:style w:type="paragraph" w:styleId="ListNumber2">
    <w:name w:val="List Number 2"/>
    <w:basedOn w:val="Normal"/>
    <w:rsid w:val="0049423E"/>
    <w:pPr>
      <w:numPr>
        <w:numId w:val="7"/>
      </w:numPr>
    </w:pPr>
  </w:style>
  <w:style w:type="paragraph" w:styleId="ListNumber3">
    <w:name w:val="List Number 3"/>
    <w:basedOn w:val="Normal"/>
    <w:rsid w:val="0049423E"/>
    <w:pPr>
      <w:numPr>
        <w:numId w:val="8"/>
      </w:numPr>
    </w:pPr>
  </w:style>
  <w:style w:type="paragraph" w:styleId="ListNumber4">
    <w:name w:val="List Number 4"/>
    <w:basedOn w:val="Normal"/>
    <w:rsid w:val="0049423E"/>
    <w:pPr>
      <w:numPr>
        <w:numId w:val="9"/>
      </w:numPr>
    </w:pPr>
  </w:style>
  <w:style w:type="paragraph" w:styleId="ListNumber5">
    <w:name w:val="List Number 5"/>
    <w:basedOn w:val="Normal"/>
    <w:rsid w:val="0049423E"/>
    <w:pPr>
      <w:numPr>
        <w:numId w:val="10"/>
      </w:numPr>
    </w:pPr>
  </w:style>
  <w:style w:type="paragraph" w:styleId="MacroText">
    <w:name w:val="macro"/>
    <w:semiHidden/>
    <w:rsid w:val="004942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noProof/>
      <w:lang w:eastAsia="en-US"/>
    </w:rPr>
  </w:style>
  <w:style w:type="paragraph" w:styleId="MessageHeader">
    <w:name w:val="Message Header"/>
    <w:basedOn w:val="Normal"/>
    <w:rsid w:val="0049423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49423E"/>
  </w:style>
  <w:style w:type="paragraph" w:styleId="NormalIndent">
    <w:name w:val="Normal Indent"/>
    <w:basedOn w:val="Normal"/>
    <w:rsid w:val="0049423E"/>
    <w:pPr>
      <w:ind w:left="720"/>
    </w:pPr>
  </w:style>
  <w:style w:type="paragraph" w:styleId="NoteHeading">
    <w:name w:val="Note Heading"/>
    <w:basedOn w:val="Normal"/>
    <w:next w:val="Normal"/>
    <w:rsid w:val="0049423E"/>
  </w:style>
  <w:style w:type="paragraph" w:styleId="PlainText">
    <w:name w:val="Plain Text"/>
    <w:basedOn w:val="Normal"/>
    <w:rsid w:val="0049423E"/>
    <w:rPr>
      <w:rFonts w:ascii="Courier New" w:hAnsi="Courier New" w:cs="Courier New"/>
      <w:sz w:val="20"/>
      <w:szCs w:val="20"/>
    </w:rPr>
  </w:style>
  <w:style w:type="paragraph" w:styleId="Salutation">
    <w:name w:val="Salutation"/>
    <w:basedOn w:val="Normal"/>
    <w:next w:val="Normal"/>
    <w:rsid w:val="0049423E"/>
  </w:style>
  <w:style w:type="paragraph" w:styleId="Signature">
    <w:name w:val="Signature"/>
    <w:basedOn w:val="Normal"/>
    <w:rsid w:val="0049423E"/>
    <w:pPr>
      <w:ind w:left="4252"/>
    </w:pPr>
  </w:style>
  <w:style w:type="paragraph" w:styleId="Subtitle">
    <w:name w:val="Subtitle"/>
    <w:basedOn w:val="Normal"/>
    <w:qFormat/>
    <w:rsid w:val="0049423E"/>
    <w:pPr>
      <w:jc w:val="center"/>
      <w:outlineLvl w:val="1"/>
    </w:pPr>
    <w:rPr>
      <w:rFonts w:ascii="Arial" w:hAnsi="Arial" w:cs="Arial"/>
    </w:rPr>
  </w:style>
  <w:style w:type="paragraph" w:styleId="TableofAuthorities">
    <w:name w:val="table of authorities"/>
    <w:basedOn w:val="Normal"/>
    <w:next w:val="Normal"/>
    <w:semiHidden/>
    <w:rsid w:val="0049423E"/>
    <w:pPr>
      <w:ind w:left="240" w:hanging="240"/>
    </w:pPr>
  </w:style>
  <w:style w:type="paragraph" w:styleId="TableofFigures">
    <w:name w:val="table of figures"/>
    <w:basedOn w:val="Normal"/>
    <w:next w:val="Normal"/>
    <w:semiHidden/>
    <w:rsid w:val="0049423E"/>
  </w:style>
  <w:style w:type="paragraph" w:styleId="Title">
    <w:name w:val="Title"/>
    <w:basedOn w:val="Normal"/>
    <w:qFormat/>
    <w:rsid w:val="0049423E"/>
    <w:pPr>
      <w:spacing w:before="240"/>
      <w:jc w:val="center"/>
      <w:outlineLvl w:val="0"/>
    </w:pPr>
    <w:rPr>
      <w:rFonts w:ascii="Arial" w:hAnsi="Arial" w:cs="Arial"/>
      <w:b/>
      <w:bCs w:val="0"/>
      <w:kern w:val="28"/>
      <w:sz w:val="32"/>
      <w:szCs w:val="32"/>
    </w:rPr>
  </w:style>
  <w:style w:type="paragraph" w:styleId="TOAHeading">
    <w:name w:val="toa heading"/>
    <w:basedOn w:val="Normal"/>
    <w:next w:val="Normal"/>
    <w:semiHidden/>
    <w:rsid w:val="0049423E"/>
    <w:rPr>
      <w:rFonts w:ascii="Arial" w:hAnsi="Arial" w:cs="Arial"/>
      <w:b/>
      <w:bCs w:val="0"/>
    </w:rPr>
  </w:style>
  <w:style w:type="paragraph" w:styleId="TOC1">
    <w:name w:val="toc 1"/>
    <w:basedOn w:val="Normal"/>
    <w:next w:val="Normal"/>
    <w:autoRedefine/>
    <w:uiPriority w:val="39"/>
    <w:rsid w:val="00795024"/>
    <w:pPr>
      <w:tabs>
        <w:tab w:val="left" w:pos="1260"/>
        <w:tab w:val="right" w:leader="dot" w:pos="7740"/>
        <w:tab w:val="left" w:pos="8190"/>
      </w:tabs>
      <w:spacing w:after="120"/>
      <w:ind w:left="245"/>
    </w:pPr>
  </w:style>
  <w:style w:type="paragraph" w:styleId="TOC2">
    <w:name w:val="toc 2"/>
    <w:basedOn w:val="Normal"/>
    <w:next w:val="Normal"/>
    <w:autoRedefine/>
    <w:uiPriority w:val="39"/>
    <w:rsid w:val="00795024"/>
    <w:pPr>
      <w:tabs>
        <w:tab w:val="left" w:pos="5490"/>
        <w:tab w:val="right" w:leader="dot" w:pos="7740"/>
        <w:tab w:val="right" w:leader="dot" w:pos="8633"/>
      </w:tabs>
      <w:spacing w:after="120"/>
      <w:ind w:left="245"/>
    </w:pPr>
  </w:style>
  <w:style w:type="paragraph" w:styleId="TOC3">
    <w:name w:val="toc 3"/>
    <w:basedOn w:val="Normal"/>
    <w:next w:val="Normal"/>
    <w:autoRedefine/>
    <w:uiPriority w:val="39"/>
    <w:rsid w:val="0049423E"/>
    <w:pPr>
      <w:ind w:left="480"/>
    </w:pPr>
  </w:style>
  <w:style w:type="paragraph" w:styleId="TOC4">
    <w:name w:val="toc 4"/>
    <w:basedOn w:val="Normal"/>
    <w:next w:val="Normal"/>
    <w:autoRedefine/>
    <w:uiPriority w:val="39"/>
    <w:rsid w:val="00D226C1"/>
    <w:pPr>
      <w:tabs>
        <w:tab w:val="left" w:pos="1440"/>
        <w:tab w:val="left" w:pos="8190"/>
        <w:tab w:val="right" w:leader="dot" w:pos="8633"/>
      </w:tabs>
      <w:spacing w:after="120"/>
      <w:ind w:left="450"/>
    </w:pPr>
  </w:style>
  <w:style w:type="paragraph" w:styleId="TOC5">
    <w:name w:val="toc 5"/>
    <w:basedOn w:val="Normal"/>
    <w:next w:val="Normal"/>
    <w:autoRedefine/>
    <w:semiHidden/>
    <w:rsid w:val="0049423E"/>
    <w:pPr>
      <w:ind w:left="960"/>
    </w:pPr>
  </w:style>
  <w:style w:type="paragraph" w:styleId="TOC6">
    <w:name w:val="toc 6"/>
    <w:basedOn w:val="Normal"/>
    <w:next w:val="Normal"/>
    <w:autoRedefine/>
    <w:semiHidden/>
    <w:rsid w:val="0049423E"/>
    <w:pPr>
      <w:ind w:left="1200"/>
    </w:pPr>
  </w:style>
  <w:style w:type="paragraph" w:styleId="TOC7">
    <w:name w:val="toc 7"/>
    <w:basedOn w:val="Normal"/>
    <w:next w:val="Normal"/>
    <w:autoRedefine/>
    <w:semiHidden/>
    <w:rsid w:val="0049423E"/>
    <w:pPr>
      <w:ind w:left="1440"/>
    </w:pPr>
  </w:style>
  <w:style w:type="paragraph" w:styleId="TOC8">
    <w:name w:val="toc 8"/>
    <w:basedOn w:val="Normal"/>
    <w:next w:val="Normal"/>
    <w:autoRedefine/>
    <w:semiHidden/>
    <w:rsid w:val="0049423E"/>
    <w:pPr>
      <w:ind w:left="1680"/>
    </w:pPr>
  </w:style>
  <w:style w:type="paragraph" w:styleId="TOC9">
    <w:name w:val="toc 9"/>
    <w:basedOn w:val="Normal"/>
    <w:next w:val="Normal"/>
    <w:autoRedefine/>
    <w:semiHidden/>
    <w:rsid w:val="0049423E"/>
    <w:pPr>
      <w:ind w:left="1920"/>
    </w:pPr>
  </w:style>
  <w:style w:type="character" w:styleId="PageNumber">
    <w:name w:val="page number"/>
    <w:basedOn w:val="DefaultParagraphFont"/>
    <w:rsid w:val="00505FB8"/>
  </w:style>
  <w:style w:type="paragraph" w:styleId="ListParagraph">
    <w:name w:val="List Paragraph"/>
    <w:basedOn w:val="Normal"/>
    <w:uiPriority w:val="34"/>
    <w:qFormat/>
    <w:rsid w:val="004744C1"/>
    <w:pPr>
      <w:ind w:left="720"/>
    </w:pPr>
  </w:style>
  <w:style w:type="table" w:styleId="LightShading-Accent1">
    <w:name w:val="Light Shading Accent 1"/>
    <w:basedOn w:val="TableNormal"/>
    <w:uiPriority w:val="60"/>
    <w:rsid w:val="002A7F9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Grid">
    <w:name w:val="Table Grid"/>
    <w:basedOn w:val="TableNormal"/>
    <w:uiPriority w:val="59"/>
    <w:rsid w:val="002E3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429E"/>
    <w:pPr>
      <w:autoSpaceDE w:val="0"/>
      <w:autoSpaceDN w:val="0"/>
      <w:adjustRightInd w:val="0"/>
    </w:pPr>
    <w:rPr>
      <w:rFonts w:ascii="Calibri" w:hAnsi="Calibri" w:cs="Calibri"/>
      <w:color w:val="000000"/>
      <w:sz w:val="24"/>
      <w:szCs w:val="24"/>
    </w:rPr>
  </w:style>
  <w:style w:type="character" w:customStyle="1" w:styleId="HeaderChar">
    <w:name w:val="Header Char"/>
    <w:link w:val="Header"/>
    <w:uiPriority w:val="99"/>
    <w:rsid w:val="00DB68E0"/>
    <w:rPr>
      <w:rFonts w:ascii="Calibri" w:hAnsi="Calibri"/>
      <w:noProof/>
      <w:sz w:val="24"/>
      <w:szCs w:val="24"/>
      <w:lang w:eastAsia="en-US"/>
    </w:rPr>
  </w:style>
  <w:style w:type="character" w:styleId="Hyperlink">
    <w:name w:val="Hyperlink"/>
    <w:uiPriority w:val="99"/>
    <w:unhideWhenUsed/>
    <w:rsid w:val="00F22B9C"/>
    <w:rPr>
      <w:color w:val="0000FF"/>
      <w:u w:val="single"/>
    </w:rPr>
  </w:style>
  <w:style w:type="table" w:customStyle="1" w:styleId="TableGrid1">
    <w:name w:val="Table Grid1"/>
    <w:basedOn w:val="TableNormal"/>
    <w:next w:val="TableGrid"/>
    <w:rsid w:val="00675B9E"/>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F6DE9"/>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CommentReference">
    <w:name w:val="annotation reference"/>
    <w:rsid w:val="005E16A3"/>
    <w:rPr>
      <w:sz w:val="16"/>
      <w:szCs w:val="16"/>
    </w:rPr>
  </w:style>
  <w:style w:type="character" w:customStyle="1" w:styleId="FooterChar">
    <w:name w:val="Footer Char"/>
    <w:link w:val="Footer"/>
    <w:uiPriority w:val="99"/>
    <w:rsid w:val="00BD2580"/>
    <w:rPr>
      <w:rFonts w:ascii="Calibri" w:hAnsi="Calibri"/>
      <w:noProof/>
      <w:sz w:val="24"/>
      <w:szCs w:val="24"/>
      <w:lang w:eastAsia="en-US"/>
    </w:rPr>
  </w:style>
  <w:style w:type="paragraph" w:customStyle="1" w:styleId="Footercoverpage">
    <w:name w:val="Footer cover page"/>
    <w:basedOn w:val="Footer"/>
    <w:link w:val="FootercoverpageChar"/>
    <w:qFormat/>
    <w:rsid w:val="00BD2580"/>
    <w:pPr>
      <w:ind w:left="-600"/>
    </w:pPr>
    <w:rPr>
      <w:rFonts w:ascii="Arial Narrow" w:hAnsi="Arial Narrow" w:cs="Arial"/>
      <w:color w:val="333333"/>
      <w:sz w:val="28"/>
      <w:szCs w:val="20"/>
    </w:rPr>
  </w:style>
  <w:style w:type="character" w:customStyle="1" w:styleId="FootercoverpageChar">
    <w:name w:val="Footer cover page Char"/>
    <w:link w:val="Footercoverpage"/>
    <w:rsid w:val="00BD2580"/>
    <w:rPr>
      <w:rFonts w:ascii="Arial Narrow" w:hAnsi="Arial Narrow" w:cs="Arial"/>
      <w:noProof/>
      <w:color w:val="333333"/>
      <w:sz w:val="28"/>
      <w:lang w:eastAsia="en-US"/>
    </w:rPr>
  </w:style>
  <w:style w:type="paragraph" w:customStyle="1" w:styleId="Footer1">
    <w:name w:val="Footer1"/>
    <w:basedOn w:val="Footer"/>
    <w:qFormat/>
    <w:rsid w:val="00085DA4"/>
    <w:pPr>
      <w:ind w:left="-851"/>
    </w:pPr>
    <w:rPr>
      <w:rFonts w:cs="Calibri"/>
      <w:sz w:val="20"/>
      <w:szCs w:val="20"/>
    </w:rPr>
  </w:style>
  <w:style w:type="paragraph" w:customStyle="1" w:styleId="Tableheader">
    <w:name w:val="Table header"/>
    <w:basedOn w:val="Normal"/>
    <w:next w:val="Normal"/>
    <w:rsid w:val="00840392"/>
    <w:pPr>
      <w:keepNext/>
      <w:keepLines/>
      <w:tabs>
        <w:tab w:val="left" w:pos="1701"/>
        <w:tab w:val="center" w:pos="4248"/>
        <w:tab w:val="center" w:pos="5832"/>
        <w:tab w:val="center" w:pos="7344"/>
        <w:tab w:val="center" w:pos="8928"/>
      </w:tabs>
      <w:spacing w:before="60"/>
      <w:ind w:right="170"/>
      <w:jc w:val="right"/>
    </w:pPr>
    <w:rPr>
      <w:rFonts w:ascii="Arial" w:hAnsi="Arial"/>
      <w:b/>
      <w:sz w:val="16"/>
    </w:rPr>
  </w:style>
  <w:style w:type="paragraph" w:customStyle="1" w:styleId="tablenums">
    <w:name w:val="table nums"/>
    <w:basedOn w:val="Normal"/>
    <w:rsid w:val="00840392"/>
    <w:pPr>
      <w:keepNext/>
      <w:keepLines/>
      <w:tabs>
        <w:tab w:val="left" w:pos="1701"/>
        <w:tab w:val="center" w:pos="4248"/>
        <w:tab w:val="center" w:pos="5832"/>
        <w:tab w:val="center" w:pos="7344"/>
        <w:tab w:val="center" w:pos="8928"/>
      </w:tabs>
      <w:spacing w:before="60"/>
      <w:ind w:right="170"/>
      <w:jc w:val="right"/>
    </w:pPr>
    <w:rPr>
      <w:rFonts w:ascii="Arial" w:hAnsi="Arial"/>
      <w:sz w:val="16"/>
    </w:rPr>
  </w:style>
  <w:style w:type="paragraph" w:customStyle="1" w:styleId="table">
    <w:name w:val="table"/>
    <w:basedOn w:val="Normal"/>
    <w:rsid w:val="00840392"/>
    <w:pPr>
      <w:keepNext/>
      <w:keepLines/>
      <w:tabs>
        <w:tab w:val="left" w:pos="1701"/>
        <w:tab w:val="center" w:pos="4248"/>
        <w:tab w:val="center" w:pos="5832"/>
        <w:tab w:val="center" w:pos="7344"/>
        <w:tab w:val="center" w:pos="8928"/>
      </w:tabs>
      <w:spacing w:before="80" w:after="80"/>
    </w:pPr>
    <w:rPr>
      <w:rFonts w:ascii="Arial" w:hAnsi="Arial"/>
      <w:sz w:val="16"/>
      <w:szCs w:val="20"/>
    </w:rPr>
  </w:style>
  <w:style w:type="table" w:customStyle="1" w:styleId="GridTable1Light-Accent21">
    <w:name w:val="Grid Table 1 Light - Accent 21"/>
    <w:basedOn w:val="TableNormal"/>
    <w:uiPriority w:val="46"/>
    <w:rsid w:val="0084039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StyleHeading3Arial16ptBold">
    <w:name w:val="Style Heading 3 + Arial 16 pt Bold"/>
    <w:basedOn w:val="Heading3"/>
    <w:link w:val="StyleHeading3Arial16ptBoldChar"/>
    <w:autoRedefine/>
    <w:rsid w:val="004B1105"/>
    <w:pPr>
      <w:widowControl w:val="0"/>
      <w:autoSpaceDE w:val="0"/>
      <w:autoSpaceDN w:val="0"/>
      <w:adjustRightInd w:val="0"/>
    </w:pPr>
    <w:rPr>
      <w:rFonts w:ascii="Arial Bold" w:hAnsi="Arial Bold" w:cs="Times New Roman"/>
      <w:b w:val="0"/>
      <w:color w:val="auto"/>
      <w:lang w:val="en-US"/>
    </w:rPr>
  </w:style>
  <w:style w:type="character" w:customStyle="1" w:styleId="StyleHeading3Arial16ptBoldChar">
    <w:name w:val="Style Heading 3 + Arial 16 pt Bold Char"/>
    <w:link w:val="StyleHeading3Arial16ptBold"/>
    <w:rsid w:val="004B1105"/>
    <w:rPr>
      <w:rFonts w:ascii="Arial Bold" w:hAnsi="Arial Bold"/>
      <w:b/>
      <w:bCs/>
      <w:sz w:val="24"/>
      <w:szCs w:val="24"/>
      <w:lang w:val="en-US" w:eastAsia="en-US"/>
    </w:rPr>
  </w:style>
  <w:style w:type="character" w:styleId="FootnoteReference">
    <w:name w:val="footnote reference"/>
    <w:basedOn w:val="DefaultParagraphFont"/>
    <w:unhideWhenUsed/>
    <w:rsid w:val="00970FCA"/>
    <w:rPr>
      <w:vertAlign w:val="superscript"/>
    </w:rPr>
  </w:style>
  <w:style w:type="paragraph" w:styleId="NoSpacing">
    <w:name w:val="No Spacing"/>
    <w:uiPriority w:val="1"/>
    <w:qFormat/>
    <w:rsid w:val="00F411B6"/>
    <w:rPr>
      <w:rFonts w:asciiTheme="minorHAnsi" w:eastAsiaTheme="minorHAnsi" w:hAnsiTheme="minorHAnsi" w:cstheme="minorBidi"/>
      <w:sz w:val="22"/>
      <w:szCs w:val="22"/>
      <w:lang w:eastAsia="en-US"/>
    </w:rPr>
  </w:style>
  <w:style w:type="character" w:customStyle="1" w:styleId="FootnoteTextChar">
    <w:name w:val="Footnote Text Char"/>
    <w:aliases w:val="Footnote Text Char Char Char Char,Footnote Text Char Char Char1,Footnote Text Char1 Char1,Footnote Text Char2 Char Char,Footnote Text Char1 Char Char1 Char,Footnote Text Char Char Char Char1 Char,Footnote Text Char Char1 Char1 Char"/>
    <w:basedOn w:val="DefaultParagraphFont"/>
    <w:link w:val="FootnoteText"/>
    <w:uiPriority w:val="99"/>
    <w:rsid w:val="00C4134A"/>
    <w:rPr>
      <w:rFonts w:ascii="Minion Pro" w:hAnsi="Minion Pro"/>
      <w:sz w:val="18"/>
      <w:lang w:eastAsia="en-US"/>
    </w:rPr>
  </w:style>
  <w:style w:type="paragraph" w:customStyle="1" w:styleId="Tableheading">
    <w:name w:val="Table heading"/>
    <w:basedOn w:val="Normal"/>
    <w:qFormat/>
    <w:rsid w:val="00490AC1"/>
    <w:pPr>
      <w:jc w:val="center"/>
    </w:pPr>
    <w:rPr>
      <w:rFonts w:ascii="Chalet-ParisNineteenSixty" w:hAnsi="Chalet-ParisNineteenSixty" w:cs="Arial"/>
      <w:b/>
    </w:rPr>
  </w:style>
  <w:style w:type="paragraph" w:customStyle="1" w:styleId="Source">
    <w:name w:val="Source"/>
    <w:basedOn w:val="Caption"/>
    <w:qFormat/>
    <w:rsid w:val="00A87749"/>
    <w:pPr>
      <w:ind w:left="-180" w:firstLine="900"/>
    </w:pPr>
    <w:rPr>
      <w:rFonts w:ascii="Myriad Pro" w:hAnsi="Myriad Pro" w:cs="Arial"/>
      <w:b w:val="0"/>
    </w:rPr>
  </w:style>
  <w:style w:type="table" w:customStyle="1" w:styleId="GridTable1Light-Accent22">
    <w:name w:val="Grid Table 1 Light - Accent 22"/>
    <w:basedOn w:val="TableNormal"/>
    <w:uiPriority w:val="46"/>
    <w:rsid w:val="00B44D5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221">
    <w:name w:val="Grid Table 1 Light - Accent 221"/>
    <w:basedOn w:val="TableNormal"/>
    <w:uiPriority w:val="46"/>
    <w:rsid w:val="00204DE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Tabletext">
    <w:name w:val="Table text"/>
    <w:basedOn w:val="Normal"/>
    <w:qFormat/>
    <w:rsid w:val="00C50147"/>
    <w:rPr>
      <w:rFonts w:ascii="Myriad Pro" w:hAnsi="Myriad Pro" w:cs="Arial"/>
      <w:sz w:val="20"/>
      <w:szCs w:val="20"/>
    </w:rPr>
  </w:style>
  <w:style w:type="paragraph" w:styleId="TOCHeading">
    <w:name w:val="TOC Heading"/>
    <w:basedOn w:val="Heading1"/>
    <w:next w:val="Normal"/>
    <w:uiPriority w:val="39"/>
    <w:unhideWhenUsed/>
    <w:qFormat/>
    <w:rsid w:val="00D615E7"/>
    <w:pPr>
      <w:keepLines/>
      <w:spacing w:after="0" w:line="259" w:lineRule="auto"/>
      <w:outlineLvl w:val="9"/>
    </w:pPr>
    <w:rPr>
      <w:rFonts w:asciiTheme="majorHAnsi" w:eastAsiaTheme="majorEastAsia" w:hAnsiTheme="majorHAnsi" w:cstheme="majorBidi"/>
      <w:bCs/>
      <w:color w:val="365F91" w:themeColor="accent1" w:themeShade="BF"/>
      <w:kern w:val="0"/>
      <w:sz w:val="32"/>
      <w:szCs w:val="32"/>
      <w:lang w:val="en-US"/>
    </w:rPr>
  </w:style>
  <w:style w:type="paragraph" w:styleId="Revision">
    <w:name w:val="Revision"/>
    <w:hidden/>
    <w:uiPriority w:val="99"/>
    <w:semiHidden/>
    <w:rsid w:val="00C463C3"/>
    <w:rPr>
      <w:rFonts w:ascii="DIN Light" w:hAnsi="DIN Light"/>
      <w:bCs/>
      <w:sz w:val="24"/>
      <w:szCs w:val="24"/>
      <w:lang w:eastAsia="en-US"/>
    </w:rPr>
  </w:style>
  <w:style w:type="paragraph" w:customStyle="1" w:styleId="Footnote1">
    <w:name w:val="Footnote1"/>
    <w:basedOn w:val="FootnoteText"/>
    <w:link w:val="Footnote1Char"/>
    <w:qFormat/>
    <w:rsid w:val="00BA34BF"/>
    <w:rPr>
      <w:sz w:val="16"/>
      <w:szCs w:val="16"/>
    </w:rPr>
  </w:style>
  <w:style w:type="character" w:customStyle="1" w:styleId="Footnote1Char">
    <w:name w:val="Footnote1 Char"/>
    <w:basedOn w:val="FootnoteTextChar"/>
    <w:link w:val="Footnote1"/>
    <w:rsid w:val="00BA34BF"/>
    <w:rPr>
      <w:rFonts w:ascii="DIN Light" w:hAnsi="DIN Light"/>
      <w:bCs/>
      <w:sz w:val="16"/>
      <w:szCs w:val="16"/>
      <w:lang w:eastAsia="en-US"/>
    </w:rPr>
  </w:style>
  <w:style w:type="character" w:customStyle="1" w:styleId="addmd">
    <w:name w:val="addmd"/>
    <w:basedOn w:val="DefaultParagraphFont"/>
    <w:rsid w:val="001E0166"/>
  </w:style>
  <w:style w:type="paragraph" w:styleId="z-TopofForm">
    <w:name w:val="HTML Top of Form"/>
    <w:basedOn w:val="Normal"/>
    <w:next w:val="Normal"/>
    <w:link w:val="z-TopofFormChar"/>
    <w:hidden/>
    <w:uiPriority w:val="99"/>
    <w:semiHidden/>
    <w:unhideWhenUsed/>
    <w:rsid w:val="001E0166"/>
    <w:pPr>
      <w:pBdr>
        <w:bottom w:val="single" w:sz="6" w:space="1" w:color="auto"/>
      </w:pBdr>
      <w:jc w:val="center"/>
    </w:pPr>
    <w:rPr>
      <w:rFonts w:ascii="Arial" w:hAnsi="Arial" w:cs="Arial"/>
      <w:bCs w:val="0"/>
      <w:vanish/>
      <w:sz w:val="16"/>
      <w:szCs w:val="16"/>
      <w:lang w:eastAsia="en-AU"/>
    </w:rPr>
  </w:style>
  <w:style w:type="character" w:customStyle="1" w:styleId="z-TopofFormChar">
    <w:name w:val="z-Top of Form Char"/>
    <w:basedOn w:val="DefaultParagraphFont"/>
    <w:link w:val="z-TopofForm"/>
    <w:uiPriority w:val="99"/>
    <w:semiHidden/>
    <w:rsid w:val="001E0166"/>
    <w:rPr>
      <w:rFonts w:ascii="Arial" w:hAnsi="Arial" w:cs="Arial"/>
      <w:vanish/>
      <w:sz w:val="16"/>
      <w:szCs w:val="16"/>
    </w:rPr>
  </w:style>
  <w:style w:type="character" w:customStyle="1" w:styleId="A0">
    <w:name w:val="A0"/>
    <w:uiPriority w:val="99"/>
    <w:rsid w:val="00B23538"/>
    <w:rPr>
      <w:rFonts w:cs="EC Square Sans Pro Medium"/>
      <w:color w:val="000000"/>
      <w:sz w:val="100"/>
      <w:szCs w:val="100"/>
    </w:rPr>
  </w:style>
  <w:style w:type="character" w:customStyle="1" w:styleId="A1">
    <w:name w:val="A1"/>
    <w:uiPriority w:val="99"/>
    <w:rsid w:val="00B23538"/>
    <w:rPr>
      <w:rFonts w:cs="EC Square Sans Pro Medium"/>
      <w:color w:val="000000"/>
      <w:sz w:val="39"/>
      <w:szCs w:val="39"/>
    </w:rPr>
  </w:style>
  <w:style w:type="character" w:styleId="EndnoteReference">
    <w:name w:val="endnote reference"/>
    <w:basedOn w:val="DefaultParagraphFont"/>
    <w:semiHidden/>
    <w:unhideWhenUsed/>
    <w:rsid w:val="00BD44CC"/>
    <w:rPr>
      <w:vertAlign w:val="superscript"/>
    </w:rPr>
  </w:style>
  <w:style w:type="character" w:customStyle="1" w:styleId="Heading1Char">
    <w:name w:val="Heading 1 Char"/>
    <w:basedOn w:val="DefaultParagraphFont"/>
    <w:link w:val="Heading1"/>
    <w:rsid w:val="00E34957"/>
    <w:rPr>
      <w:rFonts w:ascii="Chalet-NewYorkNineteenSixty" w:hAnsi="Chalet-NewYorkNineteenSixty" w:cs="Arial"/>
      <w:color w:val="C00000"/>
      <w:kern w:val="32"/>
      <w:sz w:val="24"/>
      <w:szCs w:val="28"/>
      <w:lang w:eastAsia="en-US"/>
    </w:rPr>
  </w:style>
  <w:style w:type="character" w:customStyle="1" w:styleId="UnresolvedMention1">
    <w:name w:val="Unresolved Mention1"/>
    <w:basedOn w:val="DefaultParagraphFont"/>
    <w:uiPriority w:val="99"/>
    <w:semiHidden/>
    <w:unhideWhenUsed/>
    <w:rsid w:val="00D35AD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08327">
      <w:bodyDiv w:val="1"/>
      <w:marLeft w:val="0"/>
      <w:marRight w:val="0"/>
      <w:marTop w:val="0"/>
      <w:marBottom w:val="0"/>
      <w:divBdr>
        <w:top w:val="none" w:sz="0" w:space="0" w:color="auto"/>
        <w:left w:val="none" w:sz="0" w:space="0" w:color="auto"/>
        <w:bottom w:val="none" w:sz="0" w:space="0" w:color="auto"/>
        <w:right w:val="none" w:sz="0" w:space="0" w:color="auto"/>
      </w:divBdr>
    </w:div>
    <w:div w:id="259995035">
      <w:bodyDiv w:val="1"/>
      <w:marLeft w:val="0"/>
      <w:marRight w:val="0"/>
      <w:marTop w:val="0"/>
      <w:marBottom w:val="0"/>
      <w:divBdr>
        <w:top w:val="none" w:sz="0" w:space="0" w:color="auto"/>
        <w:left w:val="none" w:sz="0" w:space="0" w:color="auto"/>
        <w:bottom w:val="none" w:sz="0" w:space="0" w:color="auto"/>
        <w:right w:val="none" w:sz="0" w:space="0" w:color="auto"/>
      </w:divBdr>
    </w:div>
    <w:div w:id="310714893">
      <w:bodyDiv w:val="1"/>
      <w:marLeft w:val="0"/>
      <w:marRight w:val="0"/>
      <w:marTop w:val="0"/>
      <w:marBottom w:val="0"/>
      <w:divBdr>
        <w:top w:val="none" w:sz="0" w:space="0" w:color="auto"/>
        <w:left w:val="none" w:sz="0" w:space="0" w:color="auto"/>
        <w:bottom w:val="none" w:sz="0" w:space="0" w:color="auto"/>
        <w:right w:val="none" w:sz="0" w:space="0" w:color="auto"/>
      </w:divBdr>
    </w:div>
    <w:div w:id="332150054">
      <w:bodyDiv w:val="1"/>
      <w:marLeft w:val="0"/>
      <w:marRight w:val="0"/>
      <w:marTop w:val="0"/>
      <w:marBottom w:val="0"/>
      <w:divBdr>
        <w:top w:val="none" w:sz="0" w:space="0" w:color="auto"/>
        <w:left w:val="none" w:sz="0" w:space="0" w:color="auto"/>
        <w:bottom w:val="none" w:sz="0" w:space="0" w:color="auto"/>
        <w:right w:val="none" w:sz="0" w:space="0" w:color="auto"/>
      </w:divBdr>
    </w:div>
    <w:div w:id="372732837">
      <w:bodyDiv w:val="1"/>
      <w:marLeft w:val="0"/>
      <w:marRight w:val="0"/>
      <w:marTop w:val="0"/>
      <w:marBottom w:val="0"/>
      <w:divBdr>
        <w:top w:val="none" w:sz="0" w:space="0" w:color="auto"/>
        <w:left w:val="none" w:sz="0" w:space="0" w:color="auto"/>
        <w:bottom w:val="none" w:sz="0" w:space="0" w:color="auto"/>
        <w:right w:val="none" w:sz="0" w:space="0" w:color="auto"/>
      </w:divBdr>
    </w:div>
    <w:div w:id="480732739">
      <w:bodyDiv w:val="1"/>
      <w:marLeft w:val="0"/>
      <w:marRight w:val="0"/>
      <w:marTop w:val="0"/>
      <w:marBottom w:val="0"/>
      <w:divBdr>
        <w:top w:val="none" w:sz="0" w:space="0" w:color="auto"/>
        <w:left w:val="none" w:sz="0" w:space="0" w:color="auto"/>
        <w:bottom w:val="none" w:sz="0" w:space="0" w:color="auto"/>
        <w:right w:val="none" w:sz="0" w:space="0" w:color="auto"/>
      </w:divBdr>
    </w:div>
    <w:div w:id="481241288">
      <w:bodyDiv w:val="1"/>
      <w:marLeft w:val="0"/>
      <w:marRight w:val="0"/>
      <w:marTop w:val="0"/>
      <w:marBottom w:val="0"/>
      <w:divBdr>
        <w:top w:val="none" w:sz="0" w:space="0" w:color="auto"/>
        <w:left w:val="none" w:sz="0" w:space="0" w:color="auto"/>
        <w:bottom w:val="none" w:sz="0" w:space="0" w:color="auto"/>
        <w:right w:val="none" w:sz="0" w:space="0" w:color="auto"/>
      </w:divBdr>
    </w:div>
    <w:div w:id="493764501">
      <w:bodyDiv w:val="1"/>
      <w:marLeft w:val="0"/>
      <w:marRight w:val="0"/>
      <w:marTop w:val="0"/>
      <w:marBottom w:val="0"/>
      <w:divBdr>
        <w:top w:val="none" w:sz="0" w:space="0" w:color="auto"/>
        <w:left w:val="none" w:sz="0" w:space="0" w:color="auto"/>
        <w:bottom w:val="none" w:sz="0" w:space="0" w:color="auto"/>
        <w:right w:val="none" w:sz="0" w:space="0" w:color="auto"/>
      </w:divBdr>
    </w:div>
    <w:div w:id="553588254">
      <w:bodyDiv w:val="1"/>
      <w:marLeft w:val="0"/>
      <w:marRight w:val="0"/>
      <w:marTop w:val="0"/>
      <w:marBottom w:val="0"/>
      <w:divBdr>
        <w:top w:val="none" w:sz="0" w:space="0" w:color="auto"/>
        <w:left w:val="none" w:sz="0" w:space="0" w:color="auto"/>
        <w:bottom w:val="none" w:sz="0" w:space="0" w:color="auto"/>
        <w:right w:val="none" w:sz="0" w:space="0" w:color="auto"/>
      </w:divBdr>
    </w:div>
    <w:div w:id="582689573">
      <w:bodyDiv w:val="1"/>
      <w:marLeft w:val="0"/>
      <w:marRight w:val="0"/>
      <w:marTop w:val="0"/>
      <w:marBottom w:val="0"/>
      <w:divBdr>
        <w:top w:val="none" w:sz="0" w:space="0" w:color="auto"/>
        <w:left w:val="none" w:sz="0" w:space="0" w:color="auto"/>
        <w:bottom w:val="none" w:sz="0" w:space="0" w:color="auto"/>
        <w:right w:val="none" w:sz="0" w:space="0" w:color="auto"/>
      </w:divBdr>
    </w:div>
    <w:div w:id="654338950">
      <w:bodyDiv w:val="1"/>
      <w:marLeft w:val="0"/>
      <w:marRight w:val="0"/>
      <w:marTop w:val="0"/>
      <w:marBottom w:val="0"/>
      <w:divBdr>
        <w:top w:val="none" w:sz="0" w:space="0" w:color="auto"/>
        <w:left w:val="none" w:sz="0" w:space="0" w:color="auto"/>
        <w:bottom w:val="none" w:sz="0" w:space="0" w:color="auto"/>
        <w:right w:val="none" w:sz="0" w:space="0" w:color="auto"/>
      </w:divBdr>
    </w:div>
    <w:div w:id="661856064">
      <w:bodyDiv w:val="1"/>
      <w:marLeft w:val="0"/>
      <w:marRight w:val="0"/>
      <w:marTop w:val="0"/>
      <w:marBottom w:val="0"/>
      <w:divBdr>
        <w:top w:val="none" w:sz="0" w:space="0" w:color="auto"/>
        <w:left w:val="none" w:sz="0" w:space="0" w:color="auto"/>
        <w:bottom w:val="none" w:sz="0" w:space="0" w:color="auto"/>
        <w:right w:val="none" w:sz="0" w:space="0" w:color="auto"/>
      </w:divBdr>
    </w:div>
    <w:div w:id="700932890">
      <w:bodyDiv w:val="1"/>
      <w:marLeft w:val="0"/>
      <w:marRight w:val="0"/>
      <w:marTop w:val="0"/>
      <w:marBottom w:val="0"/>
      <w:divBdr>
        <w:top w:val="none" w:sz="0" w:space="0" w:color="auto"/>
        <w:left w:val="none" w:sz="0" w:space="0" w:color="auto"/>
        <w:bottom w:val="none" w:sz="0" w:space="0" w:color="auto"/>
        <w:right w:val="none" w:sz="0" w:space="0" w:color="auto"/>
      </w:divBdr>
    </w:div>
    <w:div w:id="760026177">
      <w:bodyDiv w:val="1"/>
      <w:marLeft w:val="0"/>
      <w:marRight w:val="0"/>
      <w:marTop w:val="0"/>
      <w:marBottom w:val="0"/>
      <w:divBdr>
        <w:top w:val="none" w:sz="0" w:space="0" w:color="auto"/>
        <w:left w:val="none" w:sz="0" w:space="0" w:color="auto"/>
        <w:bottom w:val="none" w:sz="0" w:space="0" w:color="auto"/>
        <w:right w:val="none" w:sz="0" w:space="0" w:color="auto"/>
      </w:divBdr>
    </w:div>
    <w:div w:id="787509810">
      <w:bodyDiv w:val="1"/>
      <w:marLeft w:val="0"/>
      <w:marRight w:val="0"/>
      <w:marTop w:val="0"/>
      <w:marBottom w:val="0"/>
      <w:divBdr>
        <w:top w:val="none" w:sz="0" w:space="0" w:color="auto"/>
        <w:left w:val="none" w:sz="0" w:space="0" w:color="auto"/>
        <w:bottom w:val="none" w:sz="0" w:space="0" w:color="auto"/>
        <w:right w:val="none" w:sz="0" w:space="0" w:color="auto"/>
      </w:divBdr>
    </w:div>
    <w:div w:id="791555323">
      <w:bodyDiv w:val="1"/>
      <w:marLeft w:val="0"/>
      <w:marRight w:val="0"/>
      <w:marTop w:val="0"/>
      <w:marBottom w:val="0"/>
      <w:divBdr>
        <w:top w:val="none" w:sz="0" w:space="0" w:color="auto"/>
        <w:left w:val="none" w:sz="0" w:space="0" w:color="auto"/>
        <w:bottom w:val="none" w:sz="0" w:space="0" w:color="auto"/>
        <w:right w:val="none" w:sz="0" w:space="0" w:color="auto"/>
      </w:divBdr>
    </w:div>
    <w:div w:id="852450272">
      <w:bodyDiv w:val="1"/>
      <w:marLeft w:val="0"/>
      <w:marRight w:val="0"/>
      <w:marTop w:val="0"/>
      <w:marBottom w:val="0"/>
      <w:divBdr>
        <w:top w:val="none" w:sz="0" w:space="0" w:color="auto"/>
        <w:left w:val="none" w:sz="0" w:space="0" w:color="auto"/>
        <w:bottom w:val="none" w:sz="0" w:space="0" w:color="auto"/>
        <w:right w:val="none" w:sz="0" w:space="0" w:color="auto"/>
      </w:divBdr>
    </w:div>
    <w:div w:id="857355391">
      <w:bodyDiv w:val="1"/>
      <w:marLeft w:val="0"/>
      <w:marRight w:val="0"/>
      <w:marTop w:val="0"/>
      <w:marBottom w:val="0"/>
      <w:divBdr>
        <w:top w:val="none" w:sz="0" w:space="0" w:color="auto"/>
        <w:left w:val="none" w:sz="0" w:space="0" w:color="auto"/>
        <w:bottom w:val="none" w:sz="0" w:space="0" w:color="auto"/>
        <w:right w:val="none" w:sz="0" w:space="0" w:color="auto"/>
      </w:divBdr>
    </w:div>
    <w:div w:id="858473933">
      <w:bodyDiv w:val="1"/>
      <w:marLeft w:val="0"/>
      <w:marRight w:val="0"/>
      <w:marTop w:val="0"/>
      <w:marBottom w:val="0"/>
      <w:divBdr>
        <w:top w:val="none" w:sz="0" w:space="0" w:color="auto"/>
        <w:left w:val="none" w:sz="0" w:space="0" w:color="auto"/>
        <w:bottom w:val="none" w:sz="0" w:space="0" w:color="auto"/>
        <w:right w:val="none" w:sz="0" w:space="0" w:color="auto"/>
      </w:divBdr>
    </w:div>
    <w:div w:id="860750340">
      <w:bodyDiv w:val="1"/>
      <w:marLeft w:val="0"/>
      <w:marRight w:val="0"/>
      <w:marTop w:val="0"/>
      <w:marBottom w:val="0"/>
      <w:divBdr>
        <w:top w:val="none" w:sz="0" w:space="0" w:color="auto"/>
        <w:left w:val="none" w:sz="0" w:space="0" w:color="auto"/>
        <w:bottom w:val="none" w:sz="0" w:space="0" w:color="auto"/>
        <w:right w:val="none" w:sz="0" w:space="0" w:color="auto"/>
      </w:divBdr>
    </w:div>
    <w:div w:id="895505532">
      <w:bodyDiv w:val="1"/>
      <w:marLeft w:val="0"/>
      <w:marRight w:val="0"/>
      <w:marTop w:val="0"/>
      <w:marBottom w:val="0"/>
      <w:divBdr>
        <w:top w:val="none" w:sz="0" w:space="0" w:color="auto"/>
        <w:left w:val="none" w:sz="0" w:space="0" w:color="auto"/>
        <w:bottom w:val="none" w:sz="0" w:space="0" w:color="auto"/>
        <w:right w:val="none" w:sz="0" w:space="0" w:color="auto"/>
      </w:divBdr>
    </w:div>
    <w:div w:id="944190115">
      <w:bodyDiv w:val="1"/>
      <w:marLeft w:val="0"/>
      <w:marRight w:val="0"/>
      <w:marTop w:val="0"/>
      <w:marBottom w:val="0"/>
      <w:divBdr>
        <w:top w:val="none" w:sz="0" w:space="0" w:color="auto"/>
        <w:left w:val="none" w:sz="0" w:space="0" w:color="auto"/>
        <w:bottom w:val="none" w:sz="0" w:space="0" w:color="auto"/>
        <w:right w:val="none" w:sz="0" w:space="0" w:color="auto"/>
      </w:divBdr>
    </w:div>
    <w:div w:id="959146818">
      <w:bodyDiv w:val="1"/>
      <w:marLeft w:val="0"/>
      <w:marRight w:val="0"/>
      <w:marTop w:val="0"/>
      <w:marBottom w:val="0"/>
      <w:divBdr>
        <w:top w:val="none" w:sz="0" w:space="0" w:color="auto"/>
        <w:left w:val="none" w:sz="0" w:space="0" w:color="auto"/>
        <w:bottom w:val="none" w:sz="0" w:space="0" w:color="auto"/>
        <w:right w:val="none" w:sz="0" w:space="0" w:color="auto"/>
      </w:divBdr>
    </w:div>
    <w:div w:id="1033114465">
      <w:bodyDiv w:val="1"/>
      <w:marLeft w:val="0"/>
      <w:marRight w:val="0"/>
      <w:marTop w:val="0"/>
      <w:marBottom w:val="0"/>
      <w:divBdr>
        <w:top w:val="none" w:sz="0" w:space="0" w:color="auto"/>
        <w:left w:val="none" w:sz="0" w:space="0" w:color="auto"/>
        <w:bottom w:val="none" w:sz="0" w:space="0" w:color="auto"/>
        <w:right w:val="none" w:sz="0" w:space="0" w:color="auto"/>
      </w:divBdr>
    </w:div>
    <w:div w:id="1035740082">
      <w:bodyDiv w:val="1"/>
      <w:marLeft w:val="0"/>
      <w:marRight w:val="0"/>
      <w:marTop w:val="0"/>
      <w:marBottom w:val="0"/>
      <w:divBdr>
        <w:top w:val="none" w:sz="0" w:space="0" w:color="auto"/>
        <w:left w:val="none" w:sz="0" w:space="0" w:color="auto"/>
        <w:bottom w:val="none" w:sz="0" w:space="0" w:color="auto"/>
        <w:right w:val="none" w:sz="0" w:space="0" w:color="auto"/>
      </w:divBdr>
    </w:div>
    <w:div w:id="1102140097">
      <w:bodyDiv w:val="1"/>
      <w:marLeft w:val="0"/>
      <w:marRight w:val="0"/>
      <w:marTop w:val="0"/>
      <w:marBottom w:val="0"/>
      <w:divBdr>
        <w:top w:val="none" w:sz="0" w:space="0" w:color="auto"/>
        <w:left w:val="none" w:sz="0" w:space="0" w:color="auto"/>
        <w:bottom w:val="none" w:sz="0" w:space="0" w:color="auto"/>
        <w:right w:val="none" w:sz="0" w:space="0" w:color="auto"/>
      </w:divBdr>
    </w:div>
    <w:div w:id="1138955779">
      <w:bodyDiv w:val="1"/>
      <w:marLeft w:val="0"/>
      <w:marRight w:val="0"/>
      <w:marTop w:val="0"/>
      <w:marBottom w:val="0"/>
      <w:divBdr>
        <w:top w:val="none" w:sz="0" w:space="0" w:color="auto"/>
        <w:left w:val="none" w:sz="0" w:space="0" w:color="auto"/>
        <w:bottom w:val="none" w:sz="0" w:space="0" w:color="auto"/>
        <w:right w:val="none" w:sz="0" w:space="0" w:color="auto"/>
      </w:divBdr>
    </w:div>
    <w:div w:id="1234201332">
      <w:bodyDiv w:val="1"/>
      <w:marLeft w:val="0"/>
      <w:marRight w:val="0"/>
      <w:marTop w:val="0"/>
      <w:marBottom w:val="0"/>
      <w:divBdr>
        <w:top w:val="none" w:sz="0" w:space="0" w:color="auto"/>
        <w:left w:val="none" w:sz="0" w:space="0" w:color="auto"/>
        <w:bottom w:val="none" w:sz="0" w:space="0" w:color="auto"/>
        <w:right w:val="none" w:sz="0" w:space="0" w:color="auto"/>
      </w:divBdr>
    </w:div>
    <w:div w:id="1260329217">
      <w:bodyDiv w:val="1"/>
      <w:marLeft w:val="0"/>
      <w:marRight w:val="0"/>
      <w:marTop w:val="0"/>
      <w:marBottom w:val="0"/>
      <w:divBdr>
        <w:top w:val="none" w:sz="0" w:space="0" w:color="auto"/>
        <w:left w:val="none" w:sz="0" w:space="0" w:color="auto"/>
        <w:bottom w:val="none" w:sz="0" w:space="0" w:color="auto"/>
        <w:right w:val="none" w:sz="0" w:space="0" w:color="auto"/>
      </w:divBdr>
    </w:div>
    <w:div w:id="1321153182">
      <w:bodyDiv w:val="1"/>
      <w:marLeft w:val="0"/>
      <w:marRight w:val="0"/>
      <w:marTop w:val="0"/>
      <w:marBottom w:val="0"/>
      <w:divBdr>
        <w:top w:val="none" w:sz="0" w:space="0" w:color="auto"/>
        <w:left w:val="none" w:sz="0" w:space="0" w:color="auto"/>
        <w:bottom w:val="none" w:sz="0" w:space="0" w:color="auto"/>
        <w:right w:val="none" w:sz="0" w:space="0" w:color="auto"/>
      </w:divBdr>
      <w:divsChild>
        <w:div w:id="989481165">
          <w:marLeft w:val="0"/>
          <w:marRight w:val="0"/>
          <w:marTop w:val="0"/>
          <w:marBottom w:val="60"/>
          <w:divBdr>
            <w:top w:val="none" w:sz="0" w:space="0" w:color="auto"/>
            <w:left w:val="none" w:sz="0" w:space="0" w:color="auto"/>
            <w:bottom w:val="none" w:sz="0" w:space="0" w:color="auto"/>
            <w:right w:val="none" w:sz="0" w:space="0" w:color="auto"/>
          </w:divBdr>
        </w:div>
        <w:div w:id="957179676">
          <w:marLeft w:val="0"/>
          <w:marRight w:val="0"/>
          <w:marTop w:val="0"/>
          <w:marBottom w:val="45"/>
          <w:divBdr>
            <w:top w:val="none" w:sz="0" w:space="0" w:color="auto"/>
            <w:left w:val="none" w:sz="0" w:space="0" w:color="auto"/>
            <w:bottom w:val="none" w:sz="0" w:space="0" w:color="auto"/>
            <w:right w:val="none" w:sz="0" w:space="0" w:color="auto"/>
          </w:divBdr>
        </w:div>
      </w:divsChild>
    </w:div>
    <w:div w:id="1370376466">
      <w:bodyDiv w:val="1"/>
      <w:marLeft w:val="0"/>
      <w:marRight w:val="0"/>
      <w:marTop w:val="0"/>
      <w:marBottom w:val="0"/>
      <w:divBdr>
        <w:top w:val="none" w:sz="0" w:space="0" w:color="auto"/>
        <w:left w:val="none" w:sz="0" w:space="0" w:color="auto"/>
        <w:bottom w:val="none" w:sz="0" w:space="0" w:color="auto"/>
        <w:right w:val="none" w:sz="0" w:space="0" w:color="auto"/>
      </w:divBdr>
    </w:div>
    <w:div w:id="1410346831">
      <w:bodyDiv w:val="1"/>
      <w:marLeft w:val="0"/>
      <w:marRight w:val="0"/>
      <w:marTop w:val="0"/>
      <w:marBottom w:val="0"/>
      <w:divBdr>
        <w:top w:val="none" w:sz="0" w:space="0" w:color="auto"/>
        <w:left w:val="none" w:sz="0" w:space="0" w:color="auto"/>
        <w:bottom w:val="none" w:sz="0" w:space="0" w:color="auto"/>
        <w:right w:val="none" w:sz="0" w:space="0" w:color="auto"/>
      </w:divBdr>
    </w:div>
    <w:div w:id="1484345402">
      <w:bodyDiv w:val="1"/>
      <w:marLeft w:val="0"/>
      <w:marRight w:val="0"/>
      <w:marTop w:val="0"/>
      <w:marBottom w:val="0"/>
      <w:divBdr>
        <w:top w:val="none" w:sz="0" w:space="0" w:color="auto"/>
        <w:left w:val="none" w:sz="0" w:space="0" w:color="auto"/>
        <w:bottom w:val="none" w:sz="0" w:space="0" w:color="auto"/>
        <w:right w:val="none" w:sz="0" w:space="0" w:color="auto"/>
      </w:divBdr>
    </w:div>
    <w:div w:id="1557233569">
      <w:bodyDiv w:val="1"/>
      <w:marLeft w:val="0"/>
      <w:marRight w:val="0"/>
      <w:marTop w:val="0"/>
      <w:marBottom w:val="0"/>
      <w:divBdr>
        <w:top w:val="none" w:sz="0" w:space="0" w:color="auto"/>
        <w:left w:val="none" w:sz="0" w:space="0" w:color="auto"/>
        <w:bottom w:val="none" w:sz="0" w:space="0" w:color="auto"/>
        <w:right w:val="none" w:sz="0" w:space="0" w:color="auto"/>
      </w:divBdr>
      <w:divsChild>
        <w:div w:id="1501198710">
          <w:marLeft w:val="0"/>
          <w:marRight w:val="0"/>
          <w:marTop w:val="0"/>
          <w:marBottom w:val="0"/>
          <w:divBdr>
            <w:top w:val="none" w:sz="0" w:space="0" w:color="auto"/>
            <w:left w:val="none" w:sz="0" w:space="0" w:color="auto"/>
            <w:bottom w:val="none" w:sz="0" w:space="0" w:color="auto"/>
            <w:right w:val="none" w:sz="0" w:space="0" w:color="auto"/>
          </w:divBdr>
        </w:div>
      </w:divsChild>
    </w:div>
    <w:div w:id="1703630781">
      <w:bodyDiv w:val="1"/>
      <w:marLeft w:val="0"/>
      <w:marRight w:val="0"/>
      <w:marTop w:val="0"/>
      <w:marBottom w:val="0"/>
      <w:divBdr>
        <w:top w:val="none" w:sz="0" w:space="0" w:color="auto"/>
        <w:left w:val="none" w:sz="0" w:space="0" w:color="auto"/>
        <w:bottom w:val="none" w:sz="0" w:space="0" w:color="auto"/>
        <w:right w:val="none" w:sz="0" w:space="0" w:color="auto"/>
      </w:divBdr>
    </w:div>
    <w:div w:id="1792936759">
      <w:bodyDiv w:val="1"/>
      <w:marLeft w:val="0"/>
      <w:marRight w:val="0"/>
      <w:marTop w:val="0"/>
      <w:marBottom w:val="0"/>
      <w:divBdr>
        <w:top w:val="none" w:sz="0" w:space="0" w:color="auto"/>
        <w:left w:val="none" w:sz="0" w:space="0" w:color="auto"/>
        <w:bottom w:val="none" w:sz="0" w:space="0" w:color="auto"/>
        <w:right w:val="none" w:sz="0" w:space="0" w:color="auto"/>
      </w:divBdr>
    </w:div>
    <w:div w:id="1811752891">
      <w:bodyDiv w:val="1"/>
      <w:marLeft w:val="0"/>
      <w:marRight w:val="0"/>
      <w:marTop w:val="0"/>
      <w:marBottom w:val="0"/>
      <w:divBdr>
        <w:top w:val="none" w:sz="0" w:space="0" w:color="auto"/>
        <w:left w:val="none" w:sz="0" w:space="0" w:color="auto"/>
        <w:bottom w:val="none" w:sz="0" w:space="0" w:color="auto"/>
        <w:right w:val="none" w:sz="0" w:space="0" w:color="auto"/>
      </w:divBdr>
    </w:div>
    <w:div w:id="1947618896">
      <w:bodyDiv w:val="1"/>
      <w:marLeft w:val="0"/>
      <w:marRight w:val="0"/>
      <w:marTop w:val="0"/>
      <w:marBottom w:val="0"/>
      <w:divBdr>
        <w:top w:val="none" w:sz="0" w:space="0" w:color="auto"/>
        <w:left w:val="none" w:sz="0" w:space="0" w:color="auto"/>
        <w:bottom w:val="none" w:sz="0" w:space="0" w:color="auto"/>
        <w:right w:val="none" w:sz="0" w:space="0" w:color="auto"/>
      </w:divBdr>
    </w:div>
    <w:div w:id="1991864013">
      <w:bodyDiv w:val="1"/>
      <w:marLeft w:val="0"/>
      <w:marRight w:val="0"/>
      <w:marTop w:val="0"/>
      <w:marBottom w:val="0"/>
      <w:divBdr>
        <w:top w:val="none" w:sz="0" w:space="0" w:color="auto"/>
        <w:left w:val="none" w:sz="0" w:space="0" w:color="auto"/>
        <w:bottom w:val="none" w:sz="0" w:space="0" w:color="auto"/>
        <w:right w:val="none" w:sz="0" w:space="0" w:color="auto"/>
      </w:divBdr>
    </w:div>
    <w:div w:id="2000186493">
      <w:bodyDiv w:val="1"/>
      <w:marLeft w:val="0"/>
      <w:marRight w:val="0"/>
      <w:marTop w:val="0"/>
      <w:marBottom w:val="0"/>
      <w:divBdr>
        <w:top w:val="none" w:sz="0" w:space="0" w:color="auto"/>
        <w:left w:val="none" w:sz="0" w:space="0" w:color="auto"/>
        <w:bottom w:val="none" w:sz="0" w:space="0" w:color="auto"/>
        <w:right w:val="none" w:sz="0" w:space="0" w:color="auto"/>
      </w:divBdr>
    </w:div>
    <w:div w:id="2001538168">
      <w:bodyDiv w:val="1"/>
      <w:marLeft w:val="0"/>
      <w:marRight w:val="0"/>
      <w:marTop w:val="0"/>
      <w:marBottom w:val="0"/>
      <w:divBdr>
        <w:top w:val="none" w:sz="0" w:space="0" w:color="auto"/>
        <w:left w:val="none" w:sz="0" w:space="0" w:color="auto"/>
        <w:bottom w:val="none" w:sz="0" w:space="0" w:color="auto"/>
        <w:right w:val="none" w:sz="0" w:space="0" w:color="auto"/>
      </w:divBdr>
    </w:div>
    <w:div w:id="2068988563">
      <w:bodyDiv w:val="1"/>
      <w:marLeft w:val="0"/>
      <w:marRight w:val="0"/>
      <w:marTop w:val="0"/>
      <w:marBottom w:val="0"/>
      <w:divBdr>
        <w:top w:val="none" w:sz="0" w:space="0" w:color="auto"/>
        <w:left w:val="none" w:sz="0" w:space="0" w:color="auto"/>
        <w:bottom w:val="none" w:sz="0" w:space="0" w:color="auto"/>
        <w:right w:val="none" w:sz="0" w:space="0" w:color="auto"/>
      </w:divBdr>
    </w:div>
    <w:div w:id="2121366219">
      <w:bodyDiv w:val="1"/>
      <w:marLeft w:val="0"/>
      <w:marRight w:val="0"/>
      <w:marTop w:val="0"/>
      <w:marBottom w:val="0"/>
      <w:divBdr>
        <w:top w:val="none" w:sz="0" w:space="0" w:color="auto"/>
        <w:left w:val="none" w:sz="0" w:space="0" w:color="auto"/>
        <w:bottom w:val="none" w:sz="0" w:space="0" w:color="auto"/>
        <w:right w:val="none" w:sz="0" w:space="0" w:color="auto"/>
      </w:divBdr>
    </w:div>
    <w:div w:id="212245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99EB-1EED-48FD-A04B-2D7E26E0B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2280</Words>
  <Characters>12570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14821</CharactersWithSpaces>
  <SharedDoc>false</SharedDoc>
  <HLinks>
    <vt:vector size="90" baseType="variant">
      <vt:variant>
        <vt:i4>1835062</vt:i4>
      </vt:variant>
      <vt:variant>
        <vt:i4>86</vt:i4>
      </vt:variant>
      <vt:variant>
        <vt:i4>0</vt:i4>
      </vt:variant>
      <vt:variant>
        <vt:i4>5</vt:i4>
      </vt:variant>
      <vt:variant>
        <vt:lpwstr/>
      </vt:variant>
      <vt:variant>
        <vt:lpwstr>_Toc329788466</vt:lpwstr>
      </vt:variant>
      <vt:variant>
        <vt:i4>1835062</vt:i4>
      </vt:variant>
      <vt:variant>
        <vt:i4>80</vt:i4>
      </vt:variant>
      <vt:variant>
        <vt:i4>0</vt:i4>
      </vt:variant>
      <vt:variant>
        <vt:i4>5</vt:i4>
      </vt:variant>
      <vt:variant>
        <vt:lpwstr/>
      </vt:variant>
      <vt:variant>
        <vt:lpwstr>_Toc329788465</vt:lpwstr>
      </vt:variant>
      <vt:variant>
        <vt:i4>1835062</vt:i4>
      </vt:variant>
      <vt:variant>
        <vt:i4>74</vt:i4>
      </vt:variant>
      <vt:variant>
        <vt:i4>0</vt:i4>
      </vt:variant>
      <vt:variant>
        <vt:i4>5</vt:i4>
      </vt:variant>
      <vt:variant>
        <vt:lpwstr/>
      </vt:variant>
      <vt:variant>
        <vt:lpwstr>_Toc329788464</vt:lpwstr>
      </vt:variant>
      <vt:variant>
        <vt:i4>1835062</vt:i4>
      </vt:variant>
      <vt:variant>
        <vt:i4>68</vt:i4>
      </vt:variant>
      <vt:variant>
        <vt:i4>0</vt:i4>
      </vt:variant>
      <vt:variant>
        <vt:i4>5</vt:i4>
      </vt:variant>
      <vt:variant>
        <vt:lpwstr/>
      </vt:variant>
      <vt:variant>
        <vt:lpwstr>_Toc329788463</vt:lpwstr>
      </vt:variant>
      <vt:variant>
        <vt:i4>1835062</vt:i4>
      </vt:variant>
      <vt:variant>
        <vt:i4>62</vt:i4>
      </vt:variant>
      <vt:variant>
        <vt:i4>0</vt:i4>
      </vt:variant>
      <vt:variant>
        <vt:i4>5</vt:i4>
      </vt:variant>
      <vt:variant>
        <vt:lpwstr/>
      </vt:variant>
      <vt:variant>
        <vt:lpwstr>_Toc329788462</vt:lpwstr>
      </vt:variant>
      <vt:variant>
        <vt:i4>1835062</vt:i4>
      </vt:variant>
      <vt:variant>
        <vt:i4>56</vt:i4>
      </vt:variant>
      <vt:variant>
        <vt:i4>0</vt:i4>
      </vt:variant>
      <vt:variant>
        <vt:i4>5</vt:i4>
      </vt:variant>
      <vt:variant>
        <vt:lpwstr/>
      </vt:variant>
      <vt:variant>
        <vt:lpwstr>_Toc329788461</vt:lpwstr>
      </vt:variant>
      <vt:variant>
        <vt:i4>1835062</vt:i4>
      </vt:variant>
      <vt:variant>
        <vt:i4>50</vt:i4>
      </vt:variant>
      <vt:variant>
        <vt:i4>0</vt:i4>
      </vt:variant>
      <vt:variant>
        <vt:i4>5</vt:i4>
      </vt:variant>
      <vt:variant>
        <vt:lpwstr/>
      </vt:variant>
      <vt:variant>
        <vt:lpwstr>_Toc329788460</vt:lpwstr>
      </vt:variant>
      <vt:variant>
        <vt:i4>2031670</vt:i4>
      </vt:variant>
      <vt:variant>
        <vt:i4>44</vt:i4>
      </vt:variant>
      <vt:variant>
        <vt:i4>0</vt:i4>
      </vt:variant>
      <vt:variant>
        <vt:i4>5</vt:i4>
      </vt:variant>
      <vt:variant>
        <vt:lpwstr/>
      </vt:variant>
      <vt:variant>
        <vt:lpwstr>_Toc329788459</vt:lpwstr>
      </vt:variant>
      <vt:variant>
        <vt:i4>2031670</vt:i4>
      </vt:variant>
      <vt:variant>
        <vt:i4>38</vt:i4>
      </vt:variant>
      <vt:variant>
        <vt:i4>0</vt:i4>
      </vt:variant>
      <vt:variant>
        <vt:i4>5</vt:i4>
      </vt:variant>
      <vt:variant>
        <vt:lpwstr/>
      </vt:variant>
      <vt:variant>
        <vt:lpwstr>_Toc329788458</vt:lpwstr>
      </vt:variant>
      <vt:variant>
        <vt:i4>2031670</vt:i4>
      </vt:variant>
      <vt:variant>
        <vt:i4>32</vt:i4>
      </vt:variant>
      <vt:variant>
        <vt:i4>0</vt:i4>
      </vt:variant>
      <vt:variant>
        <vt:i4>5</vt:i4>
      </vt:variant>
      <vt:variant>
        <vt:lpwstr/>
      </vt:variant>
      <vt:variant>
        <vt:lpwstr>_Toc329788457</vt:lpwstr>
      </vt:variant>
      <vt:variant>
        <vt:i4>2031670</vt:i4>
      </vt:variant>
      <vt:variant>
        <vt:i4>26</vt:i4>
      </vt:variant>
      <vt:variant>
        <vt:i4>0</vt:i4>
      </vt:variant>
      <vt:variant>
        <vt:i4>5</vt:i4>
      </vt:variant>
      <vt:variant>
        <vt:lpwstr/>
      </vt:variant>
      <vt:variant>
        <vt:lpwstr>_Toc329788456</vt:lpwstr>
      </vt:variant>
      <vt:variant>
        <vt:i4>2031670</vt:i4>
      </vt:variant>
      <vt:variant>
        <vt:i4>20</vt:i4>
      </vt:variant>
      <vt:variant>
        <vt:i4>0</vt:i4>
      </vt:variant>
      <vt:variant>
        <vt:i4>5</vt:i4>
      </vt:variant>
      <vt:variant>
        <vt:lpwstr/>
      </vt:variant>
      <vt:variant>
        <vt:lpwstr>_Toc329788455</vt:lpwstr>
      </vt:variant>
      <vt:variant>
        <vt:i4>2031670</vt:i4>
      </vt:variant>
      <vt:variant>
        <vt:i4>14</vt:i4>
      </vt:variant>
      <vt:variant>
        <vt:i4>0</vt:i4>
      </vt:variant>
      <vt:variant>
        <vt:i4>5</vt:i4>
      </vt:variant>
      <vt:variant>
        <vt:lpwstr/>
      </vt:variant>
      <vt:variant>
        <vt:lpwstr>_Toc329788454</vt:lpwstr>
      </vt:variant>
      <vt:variant>
        <vt:i4>2031670</vt:i4>
      </vt:variant>
      <vt:variant>
        <vt:i4>8</vt:i4>
      </vt:variant>
      <vt:variant>
        <vt:i4>0</vt:i4>
      </vt:variant>
      <vt:variant>
        <vt:i4>5</vt:i4>
      </vt:variant>
      <vt:variant>
        <vt:lpwstr/>
      </vt:variant>
      <vt:variant>
        <vt:lpwstr>_Toc329788453</vt:lpwstr>
      </vt:variant>
      <vt:variant>
        <vt:i4>2031670</vt:i4>
      </vt:variant>
      <vt:variant>
        <vt:i4>2</vt:i4>
      </vt:variant>
      <vt:variant>
        <vt:i4>0</vt:i4>
      </vt:variant>
      <vt:variant>
        <vt:i4>5</vt:i4>
      </vt:variant>
      <vt:variant>
        <vt:lpwstr/>
      </vt:variant>
      <vt:variant>
        <vt:lpwstr>_Toc329788452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Penny Dorsch</dc:creator>
  <cp:lastModifiedBy>Erin Snelgrove</cp:lastModifiedBy>
  <cp:revision>3</cp:revision>
  <cp:lastPrinted>2018-02-26T23:46:00Z</cp:lastPrinted>
  <dcterms:created xsi:type="dcterms:W3CDTF">2018-02-28T03:42:00Z</dcterms:created>
  <dcterms:modified xsi:type="dcterms:W3CDTF">2018-02-28T05:09:00Z</dcterms:modified>
</cp:coreProperties>
</file>