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4AC0769" w14:textId="77777777" w:rsidR="00D16667" w:rsidRDefault="00D16667">
      <w:pPr>
        <w:spacing w:before="200"/>
      </w:pPr>
      <w:r w:rsidRPr="00D16667">
        <w:rPr>
          <w:noProof/>
          <w:lang w:val="en-AU" w:eastAsia="en-AU"/>
        </w:rPr>
        <mc:AlternateContent>
          <mc:Choice Requires="wps">
            <w:drawing>
              <wp:anchor distT="0" distB="0" distL="114300" distR="114300" simplePos="0" relativeHeight="251762688" behindDoc="0" locked="0" layoutInCell="1" allowOverlap="1" wp14:anchorId="520E1AF9" wp14:editId="022DA451">
                <wp:simplePos x="0" y="0"/>
                <wp:positionH relativeFrom="column">
                  <wp:posOffset>2956560</wp:posOffset>
                </wp:positionH>
                <wp:positionV relativeFrom="paragraph">
                  <wp:posOffset>-2353310</wp:posOffset>
                </wp:positionV>
                <wp:extent cx="179705" cy="7660640"/>
                <wp:effectExtent l="0" t="6667" r="4127" b="4128"/>
                <wp:wrapNone/>
                <wp:docPr id="3" name="Rectangle 37"/>
                <wp:cNvGraphicFramePr/>
                <a:graphic xmlns:a="http://schemas.openxmlformats.org/drawingml/2006/main">
                  <a:graphicData uri="http://schemas.microsoft.com/office/word/2010/wordprocessingShape">
                    <wps:wsp>
                      <wps:cNvSpPr/>
                      <wps:spPr>
                        <a:xfrm rot="5400000">
                          <a:off x="0" y="0"/>
                          <a:ext cx="179705" cy="7660640"/>
                        </a:xfrm>
                        <a:prstGeom prst="rect">
                          <a:avLst/>
                        </a:prstGeom>
                        <a:solidFill>
                          <a:srgbClr val="17A9A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590E5F" w14:textId="77777777" w:rsidR="00D16667" w:rsidRDefault="00D16667" w:rsidP="00D166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E1AF9" id="Rectangle 37" o:spid="_x0000_s1026" style="position:absolute;margin-left:232.8pt;margin-top:-185.3pt;width:14.15pt;height:603.2pt;rotation:90;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" fillcolor="#17a9a6" stroked="f">
                <v:textbox>
                  <w:txbxContent>
                    <w:p w14:paraId="68590E5F" w14:textId="77777777" w:rsidR="00D16667" w:rsidRDefault="00D16667" w:rsidP="00D16667"/>
                  </w:txbxContent>
                </v:textbox>
              </v:rect>
            </w:pict>
          </mc:Fallback>
        </mc:AlternateContent>
      </w:r>
      <w:r w:rsidRPr="00D16667">
        <w:rPr>
          <w:noProof/>
          <w:lang w:val="en-AU" w:eastAsia="en-AU"/>
        </w:rPr>
        <mc:AlternateContent>
          <mc:Choice Requires="wps">
            <w:drawing>
              <wp:anchor distT="0" distB="0" distL="114300" distR="114300" simplePos="0" relativeHeight="251759616" behindDoc="0" locked="0" layoutInCell="1" allowOverlap="1" wp14:anchorId="2C057372" wp14:editId="682AA2D9">
                <wp:simplePos x="0" y="0"/>
                <wp:positionH relativeFrom="column">
                  <wp:posOffset>-1245870</wp:posOffset>
                </wp:positionH>
                <wp:positionV relativeFrom="paragraph">
                  <wp:posOffset>-873760</wp:posOffset>
                </wp:positionV>
                <wp:extent cx="6945630" cy="2268220"/>
                <wp:effectExtent l="0" t="0" r="7620" b="0"/>
                <wp:wrapNone/>
                <wp:docPr id="38" name="Parallelogram 38"/>
                <wp:cNvGraphicFramePr/>
                <a:graphic xmlns:a="http://schemas.openxmlformats.org/drawingml/2006/main">
                  <a:graphicData uri="http://schemas.microsoft.com/office/word/2010/wordprocessingShape">
                    <wps:wsp>
                      <wps:cNvSpPr/>
                      <wps:spPr>
                        <a:xfrm flipH="1" flipV="1">
                          <a:off x="0" y="0"/>
                          <a:ext cx="6945630" cy="2268220"/>
                        </a:xfrm>
                        <a:prstGeom prst="parallelogram">
                          <a:avLst>
                            <a:gd name="adj" fmla="val 22535"/>
                          </a:avLst>
                        </a:prstGeom>
                        <a:gradFill flip="none" rotWithShape="1">
                          <a:gsLst>
                            <a:gs pos="0">
                              <a:srgbClr val="314891"/>
                            </a:gs>
                            <a:gs pos="58000">
                              <a:srgbClr val="475EAB">
                                <a:shade val="100000"/>
                                <a:satMod val="115000"/>
                              </a:srgbClr>
                            </a:gs>
                          </a:gsLst>
                          <a:lin ang="5400000" scaled="0"/>
                          <a:tileRec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FA70758"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8" o:spid="_x0000_s1026" type="#_x0000_t7" style="position:absolute;margin-left:-98.1pt;margin-top:-68.8pt;width:546.9pt;height:178.6pt;flip:x y;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" adj="1590" fillcolor="#314891" stroked="f">
                <v:fill color2="#3f5ab3" rotate="t" colors="0 #314891;38011f #3f5ab3" focus="100%" type="gradient">
                  <o:fill v:ext="view" type="gradientUnscaled"/>
                </v:fill>
              </v:shape>
            </w:pict>
          </mc:Fallback>
        </mc:AlternateContent>
      </w:r>
      <w:r w:rsidRPr="00D16667">
        <w:rPr>
          <w:noProof/>
          <w:lang w:val="en-AU" w:eastAsia="en-AU"/>
        </w:rPr>
        <mc:AlternateContent>
          <mc:Choice Requires="wps">
            <w:drawing>
              <wp:anchor distT="0" distB="0" distL="114300" distR="114300" simplePos="0" relativeHeight="251760640" behindDoc="0" locked="0" layoutInCell="1" allowOverlap="1" wp14:anchorId="46B645C9" wp14:editId="599FF986">
                <wp:simplePos x="0" y="0"/>
                <wp:positionH relativeFrom="column">
                  <wp:posOffset>-184150</wp:posOffset>
                </wp:positionH>
                <wp:positionV relativeFrom="paragraph">
                  <wp:posOffset>-621665</wp:posOffset>
                </wp:positionV>
                <wp:extent cx="6126480" cy="20326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2032635"/>
                        </a:xfrm>
                        <a:prstGeom prst="rect">
                          <a:avLst/>
                        </a:prstGeom>
                        <a:noFill/>
                        <a:ln w="9525">
                          <a:noFill/>
                          <a:miter lim="800000"/>
                          <a:headEnd/>
                          <a:tailEnd/>
                        </a:ln>
                      </wps:spPr>
                      <wps:txbx>
                        <w:txbxContent>
                          <w:p w14:paraId="1BB774F8" w14:textId="22D10A35" w:rsidR="00D16667" w:rsidRPr="00D16667" w:rsidRDefault="00B67FA5" w:rsidP="00116D81">
                            <w:pPr>
                              <w:pStyle w:val="Titlecover"/>
                              <w:rPr>
                                <w:color w:val="FFFFFF" w:themeColor="background1"/>
                              </w:rPr>
                            </w:pPr>
                            <w:r>
                              <w:rPr>
                                <w:color w:val="FFFFFF" w:themeColor="background1"/>
                              </w:rPr>
                              <w:t>Getting solar tariffs right</w:t>
                            </w:r>
                          </w:p>
                          <w:p w14:paraId="67CD2F81" w14:textId="77777777" w:rsidR="00035799" w:rsidRDefault="00D16667" w:rsidP="00D16667">
                            <w:pPr>
                              <w:pStyle w:val="Subtitlecover"/>
                              <w:rPr>
                                <w:color w:val="FFFFFF" w:themeColor="background1"/>
                              </w:rPr>
                            </w:pPr>
                            <w:r w:rsidRPr="00D16667">
                              <w:rPr>
                                <w:color w:val="FFFFFF" w:themeColor="background1"/>
                                <w:sz w:val="22"/>
                                <w:szCs w:val="30"/>
                              </w:rPr>
                              <w:br/>
                            </w:r>
                            <w:r w:rsidRPr="00D16667">
                              <w:rPr>
                                <w:color w:val="FFFFFF" w:themeColor="background1"/>
                              </w:rPr>
                              <w:t>VCOS</w:t>
                            </w:r>
                            <w:r w:rsidR="00035799">
                              <w:rPr>
                                <w:color w:val="FFFFFF" w:themeColor="background1"/>
                              </w:rPr>
                              <w:t xml:space="preserve">S response to Essential Services Commission draft decision on minimum </w:t>
                            </w:r>
                          </w:p>
                          <w:p w14:paraId="229F5102" w14:textId="5D035F95" w:rsidR="00116D81" w:rsidRPr="00116D81" w:rsidRDefault="00035799" w:rsidP="00D16667">
                            <w:pPr>
                              <w:pStyle w:val="Subtitlecover"/>
                              <w:rPr>
                                <w:color w:val="FFFFFF" w:themeColor="background1"/>
                              </w:rPr>
                            </w:pPr>
                            <w:r>
                              <w:rPr>
                                <w:color w:val="FFFFFF" w:themeColor="background1"/>
                              </w:rPr>
                              <w:t>feed-in tariffs for 2019-20</w:t>
                            </w:r>
                          </w:p>
                        </w:txbxContent>
                      </wps:txbx>
                      <wps:bodyPr rot="0" vert="horz" wrap="square" lIns="91440" tIns="45720" rIns="91440" bIns="45720" anchor="t" anchorCtr="0">
                        <a:noAutofit/>
                      </wps:bodyPr>
                    </wps:wsp>
                  </a:graphicData>
                </a:graphic>
              </wp:anchor>
            </w:drawing>
          </mc:Choice>
          <mc:Fallback>
            <w:pict>
              <v:shapetype w14:anchorId="46B645C9" id="_x0000_t202" coordsize="21600,21600" o:spt="202" path="m,l,21600r21600,l21600,xe">
                <v:stroke joinstyle="miter"/>
                <v:path gradientshapeok="t" o:connecttype="rect"/>
              </v:shapetype>
              <v:shape id="Text Box 2" o:spid="_x0000_s1027" type="#_x0000_t202" style="position:absolute;margin-left:-14.5pt;margin-top:-48.95pt;width:482.4pt;height:160.0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" filled="f" stroked="f">
                <v:textbox>
                  <w:txbxContent>
                    <w:p w14:paraId="1BB774F8" w14:textId="22D10A35" w:rsidR="00D16667" w:rsidRPr="00D16667" w:rsidRDefault="00B67FA5" w:rsidP="00116D81">
                      <w:pPr>
                        <w:pStyle w:val="Titlecover"/>
                        <w:rPr>
                          <w:color w:val="FFFFFF" w:themeColor="background1"/>
                        </w:rPr>
                      </w:pPr>
                      <w:r>
                        <w:rPr>
                          <w:color w:val="FFFFFF" w:themeColor="background1"/>
                        </w:rPr>
                        <w:t>Getting solar tariffs right</w:t>
                      </w:r>
                    </w:p>
                    <w:p w14:paraId="67CD2F81" w14:textId="77777777" w:rsidR="00035799" w:rsidRDefault="00D16667" w:rsidP="00D16667">
                      <w:pPr>
                        <w:pStyle w:val="Subtitlecover"/>
                        <w:rPr>
                          <w:color w:val="FFFFFF" w:themeColor="background1"/>
                        </w:rPr>
                      </w:pPr>
                      <w:r w:rsidRPr="00D16667">
                        <w:rPr>
                          <w:color w:val="FFFFFF" w:themeColor="background1"/>
                          <w:sz w:val="22"/>
                          <w:szCs w:val="30"/>
                        </w:rPr>
                        <w:br/>
                      </w:r>
                      <w:r w:rsidRPr="00D16667">
                        <w:rPr>
                          <w:color w:val="FFFFFF" w:themeColor="background1"/>
                        </w:rPr>
                        <w:t>VCOS</w:t>
                      </w:r>
                      <w:r w:rsidR="00035799">
                        <w:rPr>
                          <w:color w:val="FFFFFF" w:themeColor="background1"/>
                        </w:rPr>
                        <w:t xml:space="preserve">S response to Essential Services Commission draft decision on minimum </w:t>
                      </w:r>
                    </w:p>
                    <w:p w14:paraId="229F5102" w14:textId="5D035F95" w:rsidR="00116D81" w:rsidRPr="00116D81" w:rsidRDefault="00035799" w:rsidP="00D16667">
                      <w:pPr>
                        <w:pStyle w:val="Subtitlecover"/>
                        <w:rPr>
                          <w:color w:val="FFFFFF" w:themeColor="background1"/>
                        </w:rPr>
                      </w:pPr>
                      <w:r>
                        <w:rPr>
                          <w:color w:val="FFFFFF" w:themeColor="background1"/>
                        </w:rPr>
                        <w:t>feed-in tariffs for 2019-20</w:t>
                      </w:r>
                    </w:p>
                  </w:txbxContent>
                </v:textbox>
              </v:shape>
            </w:pict>
          </mc:Fallback>
        </mc:AlternateContent>
      </w:r>
      <w:r w:rsidRPr="00D16667">
        <w:rPr>
          <w:noProof/>
          <w:lang w:val="en-AU" w:eastAsia="en-AU"/>
        </w:rPr>
        <w:drawing>
          <wp:anchor distT="0" distB="0" distL="114300" distR="114300" simplePos="0" relativeHeight="251761664" behindDoc="0" locked="0" layoutInCell="1" allowOverlap="1" wp14:anchorId="69346AC9" wp14:editId="1AF18A72">
            <wp:simplePos x="0" y="0"/>
            <wp:positionH relativeFrom="column">
              <wp:posOffset>5728094</wp:posOffset>
            </wp:positionH>
            <wp:positionV relativeFrom="paragraph">
              <wp:posOffset>-86360</wp:posOffset>
            </wp:positionV>
            <wp:extent cx="813435" cy="1081405"/>
            <wp:effectExtent l="0" t="0" r="0" b="0"/>
            <wp:wrapNone/>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22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13435" cy="1081405"/>
                    </a:xfrm>
                    <a:prstGeom prst="rect">
                      <a:avLst/>
                    </a:prstGeom>
                  </pic:spPr>
                </pic:pic>
              </a:graphicData>
            </a:graphic>
          </wp:anchor>
        </w:drawing>
      </w:r>
    </w:p>
    <w:p w14:paraId="26A5021D" w14:textId="77777777" w:rsidR="00D16667" w:rsidRDefault="00D16667">
      <w:pPr>
        <w:spacing w:before="200"/>
      </w:pPr>
    </w:p>
    <w:p w14:paraId="234EEA81" w14:textId="77777777" w:rsidR="00D16667" w:rsidRDefault="00D16667" w:rsidP="00D16667">
      <w:pPr>
        <w:spacing w:before="200"/>
        <w:ind w:left="426" w:hanging="426"/>
      </w:pPr>
    </w:p>
    <w:p w14:paraId="258713C8" w14:textId="77777777" w:rsidR="00D16667" w:rsidRDefault="00861035">
      <w:pPr>
        <w:spacing w:before="200"/>
      </w:pPr>
      <w:r>
        <w:t>\</w:t>
      </w:r>
    </w:p>
    <w:p w14:paraId="4A0EACFB" w14:textId="77777777" w:rsidR="00861035" w:rsidRDefault="00861035">
      <w:pPr>
        <w:spacing w:before="200"/>
      </w:pPr>
    </w:p>
    <w:p w14:paraId="300F0468" w14:textId="77777777" w:rsidR="00D16667" w:rsidRDefault="00D16667" w:rsidP="00D16667">
      <w:pPr>
        <w:sectPr w:rsidR="00D16667" w:rsidSect="00D16667">
          <w:headerReference w:type="even" r:id="rId9"/>
          <w:headerReference w:type="default" r:id="rId10"/>
          <w:footerReference w:type="even" r:id="rId11"/>
          <w:footerReference w:type="default" r:id="rId12"/>
          <w:pgSz w:w="11900" w:h="16840"/>
          <w:pgMar w:top="0" w:right="1268" w:bottom="0" w:left="1134" w:header="708" w:footer="708" w:gutter="0"/>
          <w:cols w:space="708"/>
          <w:docGrid w:linePitch="360"/>
        </w:sectPr>
      </w:pPr>
      <w:bookmarkStart w:id="1" w:name="_Toc509482979"/>
    </w:p>
    <w:bookmarkEnd w:id="1"/>
    <w:p w14:paraId="4B28E0D9" w14:textId="77777777" w:rsidR="00592EB4" w:rsidRDefault="00592EB4" w:rsidP="00116D81"/>
    <w:p w14:paraId="38EA4DCB" w14:textId="77777777" w:rsidR="00E930AB" w:rsidRDefault="00116D81" w:rsidP="00116D81">
      <w:r>
        <w:t xml:space="preserve">The Victorian Council of Social Service (VCOSS) welcomes </w:t>
      </w:r>
      <w:r w:rsidR="00035799">
        <w:t xml:space="preserve">consultation by the Essential Services Commission (ESC) on </w:t>
      </w:r>
      <w:r w:rsidR="00EB1FDF">
        <w:t>its proposed minimum fe</w:t>
      </w:r>
      <w:r w:rsidR="00E930AB">
        <w:t>ed-in tariffs for 2019-20.</w:t>
      </w:r>
      <w:r w:rsidR="00B67FA5">
        <w:t xml:space="preserve"> </w:t>
      </w:r>
    </w:p>
    <w:p w14:paraId="0ADE9D0D" w14:textId="7178EA13" w:rsidR="00917655" w:rsidRDefault="00E930AB" w:rsidP="00FE1D95">
      <w:r>
        <w:t xml:space="preserve">Retailers pay feed-in tariffs </w:t>
      </w:r>
      <w:r w:rsidR="00EB1FDF">
        <w:t xml:space="preserve">to </w:t>
      </w:r>
      <w:r w:rsidR="00B67FA5">
        <w:t>households that</w:t>
      </w:r>
      <w:r>
        <w:t xml:space="preserve"> export electricity to the grid. The ESC sets the minimum price retailers must pay, and retailers can pay more than the minimum.</w:t>
      </w:r>
      <w:r w:rsidR="00F0025A">
        <w:t xml:space="preserve"> </w:t>
      </w:r>
      <w:r>
        <w:t>Feed-in tariffs approximate</w:t>
      </w:r>
      <w:r w:rsidR="00F0025A">
        <w:t xml:space="preserve"> the price a retailer would otherwise pay for electricity </w:t>
      </w:r>
      <w:r w:rsidR="00F4141A">
        <w:t>in the National Electricity Market</w:t>
      </w:r>
      <w:r w:rsidR="00F0025A">
        <w:t xml:space="preserve"> </w:t>
      </w:r>
      <w:r w:rsidR="00F4141A">
        <w:t>(NEM), plus the value associated with the avoided social cost of carbon (2.5</w:t>
      </w:r>
      <w:r w:rsidR="00FB6341">
        <w:t xml:space="preserve"> </w:t>
      </w:r>
      <w:r w:rsidR="00F4141A">
        <w:t>c/kWh).</w:t>
      </w:r>
      <w:r w:rsidR="00B67FA5">
        <w:t xml:space="preserve"> </w:t>
      </w:r>
      <w:r>
        <w:t>In 2019-20, t</w:t>
      </w:r>
      <w:r w:rsidR="00EB1FDF">
        <w:t>he ESC will continue to allow r</w:t>
      </w:r>
      <w:r w:rsidR="00917655">
        <w:t>etailers to offer:</w:t>
      </w:r>
      <w:r w:rsidR="00EB1FDF">
        <w:t xml:space="preserve"> </w:t>
      </w:r>
    </w:p>
    <w:p w14:paraId="523BC6A4" w14:textId="24818444" w:rsidR="00917655" w:rsidRDefault="00917655" w:rsidP="00917655">
      <w:pPr>
        <w:pStyle w:val="ListParagraph"/>
        <w:numPr>
          <w:ilvl w:val="0"/>
          <w:numId w:val="16"/>
        </w:numPr>
      </w:pPr>
      <w:r>
        <w:t>a single rate feed-in tariff, and/or</w:t>
      </w:r>
    </w:p>
    <w:p w14:paraId="17BBFAE0" w14:textId="7D1192A0" w:rsidR="00917655" w:rsidRDefault="00415DA2" w:rsidP="00917655">
      <w:pPr>
        <w:pStyle w:val="ListParagraph"/>
        <w:numPr>
          <w:ilvl w:val="0"/>
          <w:numId w:val="16"/>
        </w:numPr>
      </w:pPr>
      <w:proofErr w:type="gramStart"/>
      <w:r>
        <w:t>a</w:t>
      </w:r>
      <w:proofErr w:type="gramEnd"/>
      <w:r>
        <w:t xml:space="preserve"> time </w:t>
      </w:r>
      <w:r w:rsidR="00FE1D95">
        <w:t xml:space="preserve">varying feed-in tariff. </w:t>
      </w:r>
    </w:p>
    <w:p w14:paraId="537D3B85" w14:textId="06DF751F" w:rsidR="00A038BE" w:rsidRDefault="00FE1D95" w:rsidP="00917655">
      <w:r>
        <w:t xml:space="preserve">We welcome continuation of this approach and the </w:t>
      </w:r>
      <w:r w:rsidR="00415DA2">
        <w:t xml:space="preserve">transition to time </w:t>
      </w:r>
      <w:r>
        <w:t xml:space="preserve">varying tariffs, which will </w:t>
      </w:r>
      <w:r w:rsidR="008E02D2">
        <w:t xml:space="preserve">help </w:t>
      </w:r>
      <w:r>
        <w:t>optimise</w:t>
      </w:r>
      <w:r w:rsidR="00917655">
        <w:t xml:space="preserve"> the timing of </w:t>
      </w:r>
      <w:r w:rsidR="00E930AB">
        <w:t xml:space="preserve">household </w:t>
      </w:r>
      <w:r w:rsidR="00917655">
        <w:t>electricity exports</w:t>
      </w:r>
      <w:r w:rsidR="008E02D2">
        <w:t xml:space="preserve">. This should put further </w:t>
      </w:r>
      <w:r w:rsidR="0079457A">
        <w:t xml:space="preserve">downward </w:t>
      </w:r>
      <w:r w:rsidR="008E02D2">
        <w:t xml:space="preserve">pressure on </w:t>
      </w:r>
      <w:r>
        <w:t xml:space="preserve">wholesale </w:t>
      </w:r>
      <w:r w:rsidR="008E02D2">
        <w:t>prices and lower</w:t>
      </w:r>
      <w:r w:rsidR="00917655">
        <w:t xml:space="preserve"> network costs, </w:t>
      </w:r>
      <w:r w:rsidR="00647BEA">
        <w:t xml:space="preserve">e.g. by </w:t>
      </w:r>
      <w:r w:rsidR="00FA527C">
        <w:t>reducing the risks of high reverse flows into the network in the middle of the day.</w:t>
      </w:r>
      <w:r w:rsidR="00A038BE">
        <w:rPr>
          <w:rStyle w:val="EndnoteReference"/>
        </w:rPr>
        <w:endnoteReference w:id="1"/>
      </w:r>
    </w:p>
    <w:p w14:paraId="752D7446" w14:textId="7B5470D1" w:rsidR="00A038BE" w:rsidRDefault="00A038BE" w:rsidP="00116D81">
      <w:r>
        <w:t>The prop</w:t>
      </w:r>
      <w:r w:rsidR="00FB6341">
        <w:t xml:space="preserve">osed single rate tariff is 11.0 </w:t>
      </w:r>
      <w:r>
        <w:t>c/kWh, an increase from the 9.9 c/kWh tariff for 2018-19. The proposed time varying tariff will also change, with a much lower peak rate than 2018-19:</w:t>
      </w:r>
    </w:p>
    <w:tbl>
      <w:tblPr>
        <w:tblStyle w:val="TableGrid"/>
        <w:tblW w:w="0" w:type="auto"/>
        <w:jc w:val="center"/>
        <w:tblLook w:val="04A0" w:firstRow="1" w:lastRow="0" w:firstColumn="1" w:lastColumn="0" w:noHBand="0" w:noVBand="1"/>
      </w:tblPr>
      <w:tblGrid>
        <w:gridCol w:w="1555"/>
        <w:gridCol w:w="2239"/>
        <w:gridCol w:w="3147"/>
        <w:gridCol w:w="2268"/>
      </w:tblGrid>
      <w:tr w:rsidR="00A038BE" w:rsidRPr="00FE1D95" w14:paraId="63B1419C" w14:textId="77777777" w:rsidTr="008610B6">
        <w:trPr>
          <w:jc w:val="center"/>
        </w:trPr>
        <w:tc>
          <w:tcPr>
            <w:tcW w:w="1555" w:type="dxa"/>
          </w:tcPr>
          <w:p w14:paraId="7214CCDC" w14:textId="7BCB7F9E" w:rsidR="00A038BE" w:rsidRPr="00FE1D95" w:rsidRDefault="00A038BE" w:rsidP="00FE1D95">
            <w:pPr>
              <w:rPr>
                <w:sz w:val="20"/>
              </w:rPr>
            </w:pPr>
          </w:p>
        </w:tc>
        <w:tc>
          <w:tcPr>
            <w:tcW w:w="7654" w:type="dxa"/>
            <w:gridSpan w:val="3"/>
          </w:tcPr>
          <w:p w14:paraId="6F79364D" w14:textId="34909DA2" w:rsidR="00A038BE" w:rsidRPr="008610B6" w:rsidRDefault="00A038BE" w:rsidP="00FE1D95">
            <w:pPr>
              <w:jc w:val="center"/>
              <w:rPr>
                <w:b/>
                <w:sz w:val="20"/>
              </w:rPr>
            </w:pPr>
            <w:r w:rsidRPr="008610B6">
              <w:rPr>
                <w:b/>
                <w:sz w:val="20"/>
              </w:rPr>
              <w:t>Minimum rates (c/kWh)</w:t>
            </w:r>
          </w:p>
        </w:tc>
      </w:tr>
      <w:tr w:rsidR="00A038BE" w:rsidRPr="00FE1D95" w14:paraId="6B5B3F2D" w14:textId="77777777" w:rsidTr="008610B6">
        <w:trPr>
          <w:jc w:val="center"/>
        </w:trPr>
        <w:tc>
          <w:tcPr>
            <w:tcW w:w="1555" w:type="dxa"/>
          </w:tcPr>
          <w:p w14:paraId="222EDEEE" w14:textId="24275378" w:rsidR="00A038BE" w:rsidRPr="00B76407" w:rsidRDefault="00A038BE" w:rsidP="00FE1D95">
            <w:pPr>
              <w:rPr>
                <w:b/>
                <w:sz w:val="20"/>
              </w:rPr>
            </w:pPr>
            <w:r w:rsidRPr="00B76407">
              <w:rPr>
                <w:b/>
                <w:sz w:val="20"/>
              </w:rPr>
              <w:t xml:space="preserve">Times </w:t>
            </w:r>
          </w:p>
        </w:tc>
        <w:tc>
          <w:tcPr>
            <w:tcW w:w="2239" w:type="dxa"/>
          </w:tcPr>
          <w:p w14:paraId="2AFC1C5B" w14:textId="77777777" w:rsidR="00A038BE" w:rsidRPr="008610B6" w:rsidRDefault="00A038BE" w:rsidP="00FE1D95">
            <w:pPr>
              <w:rPr>
                <w:b/>
                <w:sz w:val="20"/>
              </w:rPr>
            </w:pPr>
            <w:r w:rsidRPr="008610B6">
              <w:rPr>
                <w:b/>
                <w:sz w:val="20"/>
              </w:rPr>
              <w:t>Off-peak</w:t>
            </w:r>
          </w:p>
          <w:p w14:paraId="05E0D644" w14:textId="1D88A75A" w:rsidR="00A038BE" w:rsidRPr="00FE1D95" w:rsidRDefault="00A038BE" w:rsidP="00FE1D95">
            <w:pPr>
              <w:rPr>
                <w:sz w:val="20"/>
              </w:rPr>
            </w:pPr>
            <w:r w:rsidRPr="00FE1D95">
              <w:rPr>
                <w:sz w:val="20"/>
              </w:rPr>
              <w:t>Weekdays 10pm-7am</w:t>
            </w:r>
          </w:p>
          <w:p w14:paraId="7B2B2175" w14:textId="1E88E776" w:rsidR="00A038BE" w:rsidRPr="00FE1D95" w:rsidRDefault="00A038BE" w:rsidP="00FE1D95">
            <w:pPr>
              <w:rPr>
                <w:sz w:val="20"/>
              </w:rPr>
            </w:pPr>
            <w:r>
              <w:rPr>
                <w:sz w:val="20"/>
              </w:rPr>
              <w:t>Weekends 10pm-7am</w:t>
            </w:r>
          </w:p>
        </w:tc>
        <w:tc>
          <w:tcPr>
            <w:tcW w:w="3147" w:type="dxa"/>
          </w:tcPr>
          <w:p w14:paraId="05246373" w14:textId="77777777" w:rsidR="00A038BE" w:rsidRPr="008610B6" w:rsidRDefault="00A038BE" w:rsidP="00FE1D95">
            <w:pPr>
              <w:rPr>
                <w:b/>
                <w:sz w:val="20"/>
              </w:rPr>
            </w:pPr>
            <w:r w:rsidRPr="008610B6">
              <w:rPr>
                <w:b/>
                <w:sz w:val="20"/>
              </w:rPr>
              <w:t>Shoulder</w:t>
            </w:r>
          </w:p>
          <w:p w14:paraId="6007F47D" w14:textId="77777777" w:rsidR="00A038BE" w:rsidRDefault="00A038BE" w:rsidP="00FE1D95">
            <w:pPr>
              <w:rPr>
                <w:sz w:val="20"/>
              </w:rPr>
            </w:pPr>
            <w:r>
              <w:rPr>
                <w:sz w:val="20"/>
              </w:rPr>
              <w:t>Weekdays 7am-3pm, 9pm-10pm</w:t>
            </w:r>
          </w:p>
          <w:p w14:paraId="038C4D3E" w14:textId="78C7EA22" w:rsidR="00A038BE" w:rsidRPr="00FE1D95" w:rsidRDefault="00A038BE" w:rsidP="00FE1D95">
            <w:pPr>
              <w:rPr>
                <w:sz w:val="20"/>
              </w:rPr>
            </w:pPr>
            <w:r>
              <w:rPr>
                <w:sz w:val="20"/>
              </w:rPr>
              <w:t>Weekends 7am-10pm</w:t>
            </w:r>
          </w:p>
        </w:tc>
        <w:tc>
          <w:tcPr>
            <w:tcW w:w="2268" w:type="dxa"/>
          </w:tcPr>
          <w:p w14:paraId="4774A8C9" w14:textId="77777777" w:rsidR="00A038BE" w:rsidRPr="008610B6" w:rsidRDefault="00A038BE" w:rsidP="00FE1D95">
            <w:pPr>
              <w:rPr>
                <w:b/>
                <w:sz w:val="20"/>
              </w:rPr>
            </w:pPr>
            <w:r w:rsidRPr="008610B6">
              <w:rPr>
                <w:b/>
                <w:sz w:val="20"/>
              </w:rPr>
              <w:t>Peak</w:t>
            </w:r>
          </w:p>
          <w:p w14:paraId="617C0D72" w14:textId="77777777" w:rsidR="00A038BE" w:rsidRDefault="00A038BE" w:rsidP="00FE1D95">
            <w:pPr>
              <w:rPr>
                <w:sz w:val="20"/>
              </w:rPr>
            </w:pPr>
            <w:r>
              <w:rPr>
                <w:sz w:val="20"/>
              </w:rPr>
              <w:t>Weekdays 3pm-9pm</w:t>
            </w:r>
          </w:p>
          <w:p w14:paraId="40AF6CE8" w14:textId="3E9F9B89" w:rsidR="00A038BE" w:rsidRPr="00FE1D95" w:rsidRDefault="00A038BE" w:rsidP="00FE1D95">
            <w:pPr>
              <w:rPr>
                <w:sz w:val="20"/>
              </w:rPr>
            </w:pPr>
            <w:r>
              <w:rPr>
                <w:sz w:val="20"/>
              </w:rPr>
              <w:t>Weekends N/A</w:t>
            </w:r>
          </w:p>
        </w:tc>
      </w:tr>
      <w:tr w:rsidR="00A038BE" w:rsidRPr="00FE1D95" w14:paraId="7F8083B1" w14:textId="77777777" w:rsidTr="008610B6">
        <w:trPr>
          <w:jc w:val="center"/>
        </w:trPr>
        <w:tc>
          <w:tcPr>
            <w:tcW w:w="1555" w:type="dxa"/>
          </w:tcPr>
          <w:p w14:paraId="6B5C7CAE" w14:textId="445F2B25" w:rsidR="00A038BE" w:rsidRPr="00B76407" w:rsidRDefault="00A038BE" w:rsidP="00B76407">
            <w:pPr>
              <w:rPr>
                <w:b/>
                <w:sz w:val="20"/>
              </w:rPr>
            </w:pPr>
            <w:r w:rsidRPr="00B76407">
              <w:rPr>
                <w:b/>
                <w:sz w:val="20"/>
              </w:rPr>
              <w:t>2018-19 rate</w:t>
            </w:r>
          </w:p>
        </w:tc>
        <w:tc>
          <w:tcPr>
            <w:tcW w:w="2239" w:type="dxa"/>
          </w:tcPr>
          <w:p w14:paraId="5628105A" w14:textId="1207161E" w:rsidR="00A038BE" w:rsidRDefault="00A038BE" w:rsidP="00B76407">
            <w:pPr>
              <w:rPr>
                <w:sz w:val="20"/>
              </w:rPr>
            </w:pPr>
            <w:r>
              <w:rPr>
                <w:sz w:val="20"/>
              </w:rPr>
              <w:t>7.1</w:t>
            </w:r>
          </w:p>
        </w:tc>
        <w:tc>
          <w:tcPr>
            <w:tcW w:w="3147" w:type="dxa"/>
          </w:tcPr>
          <w:p w14:paraId="5A083153" w14:textId="34E8310D" w:rsidR="00A038BE" w:rsidRDefault="00A038BE" w:rsidP="00B76407">
            <w:pPr>
              <w:rPr>
                <w:sz w:val="20"/>
              </w:rPr>
            </w:pPr>
            <w:r>
              <w:rPr>
                <w:sz w:val="20"/>
              </w:rPr>
              <w:t>10.3</w:t>
            </w:r>
          </w:p>
        </w:tc>
        <w:tc>
          <w:tcPr>
            <w:tcW w:w="2268" w:type="dxa"/>
          </w:tcPr>
          <w:p w14:paraId="075914D2" w14:textId="4AAE8362" w:rsidR="00A038BE" w:rsidRDefault="00A038BE" w:rsidP="00B76407">
            <w:pPr>
              <w:rPr>
                <w:sz w:val="20"/>
              </w:rPr>
            </w:pPr>
            <w:r>
              <w:rPr>
                <w:sz w:val="20"/>
              </w:rPr>
              <w:t>29.0</w:t>
            </w:r>
          </w:p>
        </w:tc>
      </w:tr>
      <w:tr w:rsidR="00A038BE" w:rsidRPr="00FE1D95" w14:paraId="2020BAE9" w14:textId="77777777" w:rsidTr="008610B6">
        <w:trPr>
          <w:jc w:val="center"/>
        </w:trPr>
        <w:tc>
          <w:tcPr>
            <w:tcW w:w="1555" w:type="dxa"/>
          </w:tcPr>
          <w:p w14:paraId="26938D06" w14:textId="6F1CCADE" w:rsidR="00A038BE" w:rsidRPr="00B76407" w:rsidRDefault="00A038BE" w:rsidP="00B76407">
            <w:pPr>
              <w:rPr>
                <w:b/>
                <w:sz w:val="20"/>
              </w:rPr>
            </w:pPr>
            <w:r w:rsidRPr="00B76407">
              <w:rPr>
                <w:b/>
                <w:sz w:val="20"/>
              </w:rPr>
              <w:t>2019-20 rate</w:t>
            </w:r>
          </w:p>
        </w:tc>
        <w:tc>
          <w:tcPr>
            <w:tcW w:w="2239" w:type="dxa"/>
          </w:tcPr>
          <w:p w14:paraId="0595D369" w14:textId="5F7585F4" w:rsidR="00A038BE" w:rsidRPr="00FE1D95" w:rsidRDefault="00A038BE" w:rsidP="00B76407">
            <w:pPr>
              <w:rPr>
                <w:sz w:val="20"/>
              </w:rPr>
            </w:pPr>
            <w:r>
              <w:rPr>
                <w:sz w:val="20"/>
              </w:rPr>
              <w:t>8.9</w:t>
            </w:r>
          </w:p>
        </w:tc>
        <w:tc>
          <w:tcPr>
            <w:tcW w:w="3147" w:type="dxa"/>
          </w:tcPr>
          <w:p w14:paraId="061E93EB" w14:textId="3AA0CA64" w:rsidR="00A038BE" w:rsidRPr="00FE1D95" w:rsidRDefault="00A038BE" w:rsidP="00B76407">
            <w:pPr>
              <w:rPr>
                <w:sz w:val="20"/>
              </w:rPr>
            </w:pPr>
            <w:r>
              <w:rPr>
                <w:sz w:val="20"/>
              </w:rPr>
              <w:t>10.7</w:t>
            </w:r>
          </w:p>
        </w:tc>
        <w:tc>
          <w:tcPr>
            <w:tcW w:w="2268" w:type="dxa"/>
          </w:tcPr>
          <w:p w14:paraId="5FDC0769" w14:textId="4581359F" w:rsidR="00A038BE" w:rsidRPr="00FE1D95" w:rsidRDefault="00A038BE" w:rsidP="00B76407">
            <w:pPr>
              <w:rPr>
                <w:sz w:val="20"/>
              </w:rPr>
            </w:pPr>
            <w:r>
              <w:rPr>
                <w:sz w:val="20"/>
              </w:rPr>
              <w:t>14.1</w:t>
            </w:r>
          </w:p>
        </w:tc>
      </w:tr>
    </w:tbl>
    <w:p w14:paraId="5A0CEF49" w14:textId="77777777" w:rsidR="00A038BE" w:rsidRDefault="00A038BE" w:rsidP="00116D81"/>
    <w:p w14:paraId="1DDC8D61" w14:textId="47D661CC" w:rsidR="00A038BE" w:rsidRDefault="00A038BE" w:rsidP="00116D81">
      <w:r>
        <w:t>The time varying tariff for 2019-20 seems to better reflect wholesale electricity prices, unlike the 2018-19 tariff. The 2018-19 peak rate seemed particularly inconsistent with wholesale electricity prices, since it was equal to or exceeded some peak retail prices. As VCOSS noted in its submission on the 2018-19 tariff, this could have led to higher prices for non-solar households if retailers recovered additional costs from other customers.</w:t>
      </w:r>
      <w:r>
        <w:rPr>
          <w:rStyle w:val="EndnoteReference"/>
        </w:rPr>
        <w:endnoteReference w:id="2"/>
      </w:r>
      <w:r>
        <w:t xml:space="preserve"> Only one retailer appears to have offered the time varying tariff to date; we hope a more cost-reflective tariff encourages other retailers to offer this option to solar customers.</w:t>
      </w:r>
    </w:p>
    <w:p w14:paraId="1B6E7CF6" w14:textId="25B6EAE4" w:rsidR="00A038BE" w:rsidRDefault="00A038BE" w:rsidP="00917655">
      <w:pPr>
        <w:pStyle w:val="Heading2"/>
      </w:pPr>
      <w:r>
        <w:lastRenderedPageBreak/>
        <w:t>Estimating wholesale prices</w:t>
      </w:r>
    </w:p>
    <w:p w14:paraId="5422F3E2" w14:textId="4F612659" w:rsidR="00A038BE" w:rsidRDefault="00A038BE" w:rsidP="00116D81">
      <w:r>
        <w:t xml:space="preserve">In developing the 2019-20 tariffs, the ESC has switched to a different method of forecasting wholesale electricity pricing. It previously used a market modelling approach that models the process for arriving at NEM wholesale prices, including assumed generator bidding strategies, demand profiles, generator outages, and generator entry and exit. </w:t>
      </w:r>
    </w:p>
    <w:p w14:paraId="38DA4139" w14:textId="000AEEF3" w:rsidR="00034D0B" w:rsidRDefault="00A038BE" w:rsidP="00116D81">
      <w:r>
        <w:t xml:space="preserve">The ESC has now decided to base wholesale price forecasts on electricity futures market pricing. VCOSS welcomes this approach as it is consistent with the methodology used by other Australian regulators to develop feed-in tariffs, allowing consumer advocates to better assess the reasonableness of tariffs in different jurisdictions. A futures market approach is also more transparent than a market modelling approach because it is based on publically available data and appears to be the most accurate method of forecasting wholesale prices, </w:t>
      </w:r>
      <w:r w:rsidR="00502ADD">
        <w:t>with energy retailers managing their</w:t>
      </w:r>
      <w:r>
        <w:t xml:space="preserve"> own financial ri</w:t>
      </w:r>
      <w:r w:rsidR="00502ADD">
        <w:t>sks through the futures market</w:t>
      </w:r>
      <w:r w:rsidR="005E0E56">
        <w:t>.</w:t>
      </w:r>
      <w:r>
        <w:t xml:space="preserve"> ESC </w:t>
      </w:r>
      <w:r w:rsidR="005E0E56">
        <w:t xml:space="preserve">staff </w:t>
      </w:r>
      <w:r>
        <w:t>suggest a futures market method to develop the Victorian Default Offer.</w:t>
      </w:r>
      <w:r>
        <w:rPr>
          <w:rStyle w:val="EndnoteReference"/>
        </w:rPr>
        <w:endnoteReference w:id="3"/>
      </w:r>
      <w:r>
        <w:t xml:space="preserve"> </w:t>
      </w:r>
    </w:p>
    <w:p w14:paraId="054DF862" w14:textId="68B1D2BC" w:rsidR="00631742" w:rsidRDefault="00DA5E1A" w:rsidP="00116D81">
      <w:r>
        <w:t>VCOSS welcomes</w:t>
      </w:r>
      <w:r w:rsidR="00FA527C">
        <w:t xml:space="preserve"> these changes to the</w:t>
      </w:r>
      <w:r>
        <w:t xml:space="preserve"> feed-in tari</w:t>
      </w:r>
      <w:r w:rsidR="00FA527C">
        <w:t>ff methodology, and</w:t>
      </w:r>
      <w:r w:rsidR="00B67FA5">
        <w:t xml:space="preserve"> looks forward</w:t>
      </w:r>
      <w:r w:rsidR="00FA527C">
        <w:t xml:space="preserve"> to increased </w:t>
      </w:r>
      <w:r w:rsidR="005E0E56">
        <w:t xml:space="preserve">household </w:t>
      </w:r>
      <w:r w:rsidR="00FA527C">
        <w:t xml:space="preserve">solar exports over 2019-20 that are timed and priced to benefit the energy system as a whole.  </w:t>
      </w:r>
      <w:r>
        <w:t xml:space="preserve"> </w:t>
      </w:r>
    </w:p>
    <w:p w14:paraId="29B2F92E" w14:textId="402E6DA4" w:rsidR="0041308A" w:rsidRDefault="00DA5E1A" w:rsidP="00CA5DB5">
      <w:r>
        <w:rPr>
          <w:noProof/>
          <w:lang w:val="en-AU" w:eastAsia="en-AU"/>
        </w:rPr>
        <mc:AlternateContent>
          <mc:Choice Requires="wpg">
            <w:drawing>
              <wp:anchor distT="0" distB="0" distL="114300" distR="114300" simplePos="0" relativeHeight="251764736" behindDoc="0" locked="0" layoutInCell="1" allowOverlap="1" wp14:anchorId="253A70B2" wp14:editId="51202A8B">
                <wp:simplePos x="0" y="0"/>
                <wp:positionH relativeFrom="column">
                  <wp:posOffset>-729615</wp:posOffset>
                </wp:positionH>
                <wp:positionV relativeFrom="paragraph">
                  <wp:posOffset>2615565</wp:posOffset>
                </wp:positionV>
                <wp:extent cx="8923655" cy="4412615"/>
                <wp:effectExtent l="0" t="0" r="0" b="0"/>
                <wp:wrapNone/>
                <wp:docPr id="60" name="Group 60"/>
                <wp:cNvGraphicFramePr/>
                <a:graphic xmlns:a="http://schemas.openxmlformats.org/drawingml/2006/main">
                  <a:graphicData uri="http://schemas.microsoft.com/office/word/2010/wordprocessingGroup">
                    <wpg:wgp>
                      <wpg:cNvGrpSpPr/>
                      <wpg:grpSpPr>
                        <a:xfrm>
                          <a:off x="0" y="0"/>
                          <a:ext cx="8923655" cy="4412615"/>
                          <a:chOff x="0" y="0"/>
                          <a:chExt cx="8923655" cy="4412854"/>
                        </a:xfrm>
                      </wpg:grpSpPr>
                      <wps:wsp>
                        <wps:cNvPr id="54" name="Rectangle 29"/>
                        <wps:cNvSpPr/>
                        <wps:spPr>
                          <a:xfrm flipH="1">
                            <a:off x="0" y="0"/>
                            <a:ext cx="8923655" cy="4065733"/>
                          </a:xfrm>
                          <a:prstGeom prst="rect">
                            <a:avLst/>
                          </a:prstGeom>
                          <a:solidFill>
                            <a:srgbClr val="475EAB"/>
                          </a:solidFill>
                          <a:ln>
                            <a:noFill/>
                          </a:ln>
                          <a:effectLst/>
                        </wps:spPr>
                        <wps:style>
                          <a:lnRef idx="1">
                            <a:schemeClr val="accent1"/>
                          </a:lnRef>
                          <a:fillRef idx="3">
                            <a:schemeClr val="accent1"/>
                          </a:fillRef>
                          <a:effectRef idx="2">
                            <a:schemeClr val="accent1"/>
                          </a:effectRef>
                          <a:fontRef idx="minor">
                            <a:schemeClr val="lt1"/>
                          </a:fontRef>
                        </wps:style>
                        <wps:txbx>
                          <w:txbxContent>
                            <w:p w14:paraId="12D20487" w14:textId="77777777" w:rsidR="00DA5E1A" w:rsidRDefault="00DA5E1A" w:rsidP="00DA5E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a:spLocks noChangeArrowheads="1"/>
                        </wps:cNvSpPr>
                        <wps:spPr bwMode="auto">
                          <a:xfrm>
                            <a:off x="773723" y="281354"/>
                            <a:ext cx="3239770" cy="4131500"/>
                          </a:xfrm>
                          <a:prstGeom prst="rect">
                            <a:avLst/>
                          </a:prstGeom>
                          <a:noFill/>
                          <a:ln w="9525">
                            <a:noFill/>
                            <a:miter lim="800000"/>
                            <a:headEnd/>
                            <a:tailEnd/>
                          </a:ln>
                        </wps:spPr>
                        <wps:txbx>
                          <w:txbxContent>
                            <w:p w14:paraId="2D12CE26" w14:textId="77777777" w:rsidR="00DA5E1A" w:rsidRDefault="00DA5E1A" w:rsidP="00DA5E1A">
                              <w:pPr>
                                <w:spacing w:before="0" w:after="0" w:line="240" w:lineRule="auto"/>
                                <w:rPr>
                                  <w:b/>
                                  <w:color w:val="FFFFFF" w:themeColor="background1"/>
                                </w:rPr>
                              </w:pPr>
                              <w:r w:rsidRPr="000E4054">
                                <w:rPr>
                                  <w:b/>
                                  <w:color w:val="FFFFFF" w:themeColor="background1"/>
                                </w:rPr>
                                <w:t xml:space="preserve">The Victorian Council of Social Service is the peak body of the social and community sector in Victoria.  </w:t>
                              </w:r>
                            </w:p>
                            <w:p w14:paraId="457B513C" w14:textId="77777777" w:rsidR="00DA5E1A" w:rsidRDefault="00DA5E1A" w:rsidP="00DA5E1A">
                              <w:pPr>
                                <w:spacing w:before="0" w:after="0" w:line="240" w:lineRule="auto"/>
                                <w:rPr>
                                  <w:b/>
                                  <w:color w:val="FFFFFF" w:themeColor="background1"/>
                                </w:rPr>
                              </w:pPr>
                            </w:p>
                            <w:p w14:paraId="26E844F0" w14:textId="77777777" w:rsidR="00DA5E1A" w:rsidRPr="000E4054" w:rsidRDefault="00DA5E1A" w:rsidP="00DA5E1A">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organisations, small community services, advocacy groups, and individuals interested in social policy. </w:t>
                              </w:r>
                              <w:r w:rsidRPr="000E4054">
                                <w:rPr>
                                  <w:b/>
                                  <w:color w:val="FFFFFF" w:themeColor="background1"/>
                                </w:rPr>
                                <w:br/>
                              </w:r>
                            </w:p>
                            <w:p w14:paraId="37A9725F" w14:textId="77777777" w:rsidR="00DA5E1A" w:rsidRPr="000E4054" w:rsidRDefault="00DA5E1A" w:rsidP="00DA5E1A">
                              <w:pPr>
                                <w:spacing w:before="0" w:after="0" w:line="240" w:lineRule="auto"/>
                                <w:rPr>
                                  <w:b/>
                                  <w:color w:val="FFFFFF" w:themeColor="background1"/>
                                </w:rPr>
                              </w:pPr>
                              <w:r w:rsidRPr="000E4054">
                                <w:rPr>
                                  <w:b/>
                                  <w:color w:val="FFFFFF" w:themeColor="background1"/>
                                </w:rPr>
                                <w:t>In addition to supporting the sector, VCOSS represents the interests of vulnerable and disadvantaged Victorians in policy debates and advocates for the development of a sustainable, fair and equitable society.</w:t>
                              </w:r>
                              <w:r w:rsidRPr="000E4054">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DA5E1A" w:rsidRPr="000E4054" w14:paraId="1FF54A40" w14:textId="77777777" w:rsidTr="000E4054">
                                <w:trPr>
                                  <w:trHeight w:val="397"/>
                                </w:trPr>
                                <w:tc>
                                  <w:tcPr>
                                    <w:tcW w:w="697" w:type="dxa"/>
                                    <w:vAlign w:val="center"/>
                                  </w:tcPr>
                                  <w:p w14:paraId="7A956F6A" w14:textId="77777777" w:rsidR="00DA5E1A" w:rsidRPr="000E4054" w:rsidRDefault="00DA5E1A"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169124BC" wp14:editId="593AF6C5">
                                          <wp:extent cx="173355" cy="173355"/>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social-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2448" w:type="dxa"/>
                                    <w:vAlign w:val="center"/>
                                  </w:tcPr>
                                  <w:p w14:paraId="51E02B98" w14:textId="77777777" w:rsidR="00DA5E1A" w:rsidRPr="000E4054" w:rsidRDefault="00DA5E1A" w:rsidP="007E484C">
                                    <w:pPr>
                                      <w:spacing w:before="0" w:after="0" w:line="240" w:lineRule="auto"/>
                                      <w:rPr>
                                        <w:b/>
                                        <w:color w:val="FFFFFF" w:themeColor="background1"/>
                                      </w:rPr>
                                    </w:pPr>
                                    <w:r w:rsidRPr="000E4054">
                                      <w:rPr>
                                        <w:b/>
                                        <w:color w:val="FFFFFF" w:themeColor="background1"/>
                                      </w:rPr>
                                      <w:t>/</w:t>
                                    </w:r>
                                    <w:proofErr w:type="spellStart"/>
                                    <w:r w:rsidRPr="000E4054">
                                      <w:rPr>
                                        <w:b/>
                                        <w:color w:val="FFFFFF" w:themeColor="background1"/>
                                      </w:rPr>
                                      <w:t>vcoss</w:t>
                                    </w:r>
                                    <w:proofErr w:type="spellEnd"/>
                                  </w:p>
                                </w:tc>
                              </w:tr>
                              <w:tr w:rsidR="00DA5E1A" w:rsidRPr="000E4054" w14:paraId="50EACF78" w14:textId="77777777" w:rsidTr="000E4054">
                                <w:trPr>
                                  <w:trHeight w:val="397"/>
                                </w:trPr>
                                <w:tc>
                                  <w:tcPr>
                                    <w:tcW w:w="697" w:type="dxa"/>
                                    <w:vAlign w:val="center"/>
                                  </w:tcPr>
                                  <w:p w14:paraId="202E3F89" w14:textId="77777777" w:rsidR="00DA5E1A" w:rsidRPr="000E4054" w:rsidRDefault="00DA5E1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619BF6E" wp14:editId="64D1ACF6">
                                          <wp:extent cx="180000" cy="180000"/>
                                          <wp:effectExtent l="0" t="0" r="0" b="0"/>
                                          <wp:docPr id="2" name="Picture 2"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9482CC8" w14:textId="77777777" w:rsidR="00DA5E1A" w:rsidRPr="000E4054" w:rsidRDefault="00DA5E1A" w:rsidP="007E484C">
                                    <w:pPr>
                                      <w:spacing w:before="0" w:after="0" w:line="240" w:lineRule="auto"/>
                                      <w:rPr>
                                        <w:b/>
                                        <w:color w:val="FFFFFF" w:themeColor="background1"/>
                                      </w:rPr>
                                    </w:pPr>
                                    <w:r w:rsidRPr="000E4054">
                                      <w:rPr>
                                        <w:b/>
                                        <w:color w:val="FFFFFF" w:themeColor="background1"/>
                                      </w:rPr>
                                      <w:t>@</w:t>
                                    </w:r>
                                    <w:proofErr w:type="spellStart"/>
                                    <w:r w:rsidRPr="000E4054">
                                      <w:rPr>
                                        <w:b/>
                                        <w:color w:val="FFFFFF" w:themeColor="background1"/>
                                      </w:rPr>
                                      <w:t>vcoss</w:t>
                                    </w:r>
                                    <w:proofErr w:type="spellEnd"/>
                                  </w:p>
                                </w:tc>
                              </w:tr>
                              <w:tr w:rsidR="00DA5E1A" w:rsidRPr="000E4054" w14:paraId="2DA38EB8" w14:textId="77777777" w:rsidTr="000E4054">
                                <w:trPr>
                                  <w:trHeight w:val="397"/>
                                </w:trPr>
                                <w:tc>
                                  <w:tcPr>
                                    <w:tcW w:w="697" w:type="dxa"/>
                                    <w:vAlign w:val="center"/>
                                  </w:tcPr>
                                  <w:p w14:paraId="5B260E20" w14:textId="77777777" w:rsidR="00DA5E1A" w:rsidRPr="000E4054" w:rsidRDefault="00DA5E1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E53694" wp14:editId="266BA41C">
                                          <wp:extent cx="180000" cy="180000"/>
                                          <wp:effectExtent l="0" t="0" r="0" b="0"/>
                                          <wp:docPr id="4" name="Picture 4"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DF8D22A" w14:textId="77777777" w:rsidR="00DA5E1A" w:rsidRPr="000E4054" w:rsidRDefault="00DA5E1A" w:rsidP="007E484C">
                                    <w:pPr>
                                      <w:spacing w:before="0" w:after="0" w:line="240" w:lineRule="auto"/>
                                      <w:rPr>
                                        <w:b/>
                                        <w:color w:val="FFFFFF" w:themeColor="background1"/>
                                      </w:rPr>
                                    </w:pPr>
                                    <w:r w:rsidRPr="000E4054">
                                      <w:rPr>
                                        <w:b/>
                                        <w:color w:val="FFFFFF" w:themeColor="background1"/>
                                      </w:rPr>
                                      <w:t>vcoss.org.au</w:t>
                                    </w:r>
                                  </w:p>
                                </w:tc>
                              </w:tr>
                            </w:tbl>
                            <w:p w14:paraId="76A6ED2D" w14:textId="77777777" w:rsidR="00DA5E1A" w:rsidRPr="00E90402" w:rsidRDefault="00DA5E1A" w:rsidP="00DA5E1A">
                              <w:pPr>
                                <w:rPr>
                                  <w:b/>
                                  <w:color w:val="E6EAEF"/>
                                  <w:sz w:val="28"/>
                                  <w:szCs w:val="28"/>
                                </w:rPr>
                              </w:pPr>
                            </w:p>
                          </w:txbxContent>
                        </wps:txbx>
                        <wps:bodyPr rot="0" vert="horz" wrap="square" lIns="91440" tIns="45720" rIns="91440" bIns="45720" anchor="t" anchorCtr="0">
                          <a:noAutofit/>
                        </wps:bodyPr>
                      </wps:wsp>
                      <wps:wsp>
                        <wps:cNvPr id="56" name="Text Box 2"/>
                        <wps:cNvSpPr txBox="1">
                          <a:spLocks noChangeArrowheads="1"/>
                        </wps:cNvSpPr>
                        <wps:spPr bwMode="auto">
                          <a:xfrm>
                            <a:off x="4132385" y="281354"/>
                            <a:ext cx="2995295" cy="4130675"/>
                          </a:xfrm>
                          <a:prstGeom prst="rect">
                            <a:avLst/>
                          </a:prstGeom>
                          <a:noFill/>
                          <a:ln w="9525">
                            <a:noFill/>
                            <a:miter lim="800000"/>
                            <a:headEnd/>
                            <a:tailEnd/>
                          </a:ln>
                        </wps:spPr>
                        <wps:txbx>
                          <w:txbxContent>
                            <w:p w14:paraId="0A837F92" w14:textId="40196251" w:rsidR="00DA5E1A" w:rsidRPr="000E4054" w:rsidRDefault="00DA5E1A" w:rsidP="00DA5E1A">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Emma O’Neill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1C1BCC2" w14:textId="5C97011B" w:rsidR="00DA5E1A" w:rsidRPr="000E4054" w:rsidRDefault="00DA5E1A" w:rsidP="00DA5E1A">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 xml:space="preserve">Llewellyn Reynders </w:t>
                              </w:r>
                              <w:r w:rsidRPr="000E4054">
                                <w:rPr>
                                  <w:b/>
                                  <w:color w:val="FFFFFF" w:themeColor="background1"/>
                                </w:rPr>
                                <w:t xml:space="preserve">at </w:t>
                              </w:r>
                              <w:hyperlink r:id="rId16" w:history="1">
                                <w:r w:rsidRPr="0015294D">
                                  <w:rPr>
                                    <w:rStyle w:val="Hyperlink"/>
                                  </w:rPr>
                                  <w:t>llewellyn.reynders@vcoss.org.au</w:t>
                                </w:r>
                              </w:hyperlink>
                              <w:r w:rsidRPr="000E4054">
                                <w:rPr>
                                  <w:b/>
                                  <w:color w:val="FFFFFF" w:themeColor="background1"/>
                                </w:rPr>
                                <w:br/>
                              </w:r>
                            </w:p>
                            <w:p w14:paraId="30734B93" w14:textId="77777777" w:rsidR="00DA5E1A" w:rsidRDefault="00DA5E1A" w:rsidP="00DA5E1A">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17" w:history="1">
                                <w:r w:rsidRPr="00AB1929">
                                  <w:rPr>
                                    <w:rStyle w:val="Hyperlink"/>
                                  </w:rPr>
                                  <w:t>vcoss.org.au</w:t>
                                </w:r>
                              </w:hyperlink>
                            </w:p>
                            <w:p w14:paraId="52270BDC" w14:textId="77777777" w:rsidR="00DA5E1A" w:rsidRDefault="00DA5E1A" w:rsidP="00DA5E1A">
                              <w:pPr>
                                <w:spacing w:before="0" w:after="0" w:line="240" w:lineRule="auto"/>
                                <w:rPr>
                                  <w:b/>
                                  <w:color w:val="FFFFFF" w:themeColor="background1"/>
                                </w:rPr>
                              </w:pPr>
                            </w:p>
                            <w:p w14:paraId="3EFEDF5F" w14:textId="77777777" w:rsidR="00DA5E1A" w:rsidRDefault="00DA5E1A" w:rsidP="00DA5E1A">
                              <w:pPr>
                                <w:spacing w:before="0" w:after="0" w:line="240" w:lineRule="auto"/>
                                <w:rPr>
                                  <w:b/>
                                  <w:color w:val="FFFFFF" w:themeColor="background1"/>
                                </w:rPr>
                              </w:pPr>
                              <w:r>
                                <w:rPr>
                                  <w:noProof/>
                                  <w:lang w:val="en-AU" w:eastAsia="en-AU"/>
                                </w:rPr>
                                <w:drawing>
                                  <wp:inline distT="0" distB="0" distL="0" distR="0" wp14:anchorId="529F7901" wp14:editId="4AF20F94">
                                    <wp:extent cx="684701" cy="239799"/>
                                    <wp:effectExtent l="0" t="0" r="1270" b="8255"/>
                                    <wp:docPr id="6" name="Picture 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450" cy="241812"/>
                                            </a:xfrm>
                                            <a:prstGeom prst="rect">
                                              <a:avLst/>
                                            </a:prstGeom>
                                            <a:noFill/>
                                            <a:ln>
                                              <a:noFill/>
                                            </a:ln>
                                          </pic:spPr>
                                        </pic:pic>
                                      </a:graphicData>
                                    </a:graphic>
                                  </wp:inline>
                                </w:drawing>
                              </w:r>
                            </w:p>
                            <w:p w14:paraId="52CC214B" w14:textId="77777777" w:rsidR="00DA5E1A" w:rsidRDefault="00DA5E1A" w:rsidP="00DA5E1A">
                              <w:pPr>
                                <w:spacing w:before="0" w:after="0" w:line="240" w:lineRule="auto"/>
                                <w:rPr>
                                  <w:b/>
                                  <w:color w:val="FFFFFF" w:themeColor="background1"/>
                                </w:rPr>
                              </w:pPr>
                            </w:p>
                            <w:p w14:paraId="7C2615A8" w14:textId="77777777" w:rsidR="00DA5E1A" w:rsidRDefault="00DA5E1A" w:rsidP="00DA5E1A">
                              <w:pPr>
                                <w:spacing w:before="0" w:after="0" w:line="240" w:lineRule="auto"/>
                                <w:rPr>
                                  <w:b/>
                                  <w:color w:val="FFFFFF" w:themeColor="background1"/>
                                </w:rPr>
                              </w:pPr>
                              <w:r w:rsidRPr="001D4431">
                                <w:rPr>
                                  <w:b/>
                                  <w:color w:val="FFFFFF" w:themeColor="background1"/>
                                </w:rPr>
                                <w:t>VCOSS acknowledges the traditional owners of country and pays its respects to pas</w:t>
                              </w:r>
                              <w:r>
                                <w:rPr>
                                  <w:b/>
                                  <w:color w:val="FFFFFF" w:themeColor="background1"/>
                                </w:rPr>
                                <w:t>t, present and emerging Elders.</w:t>
                              </w:r>
                            </w:p>
                            <w:p w14:paraId="5C19BEF2" w14:textId="77777777" w:rsidR="00DA5E1A" w:rsidRDefault="00DA5E1A" w:rsidP="00DA5E1A">
                              <w:pPr>
                                <w:spacing w:before="0" w:after="0" w:line="240" w:lineRule="auto"/>
                                <w:rPr>
                                  <w:b/>
                                  <w:color w:val="FFFFFF" w:themeColor="background1"/>
                                </w:rPr>
                              </w:pPr>
                            </w:p>
                            <w:p w14:paraId="62BF3FED" w14:textId="77777777" w:rsidR="00DA5E1A" w:rsidRDefault="00DA5E1A" w:rsidP="00DA5E1A">
                              <w:pPr>
                                <w:spacing w:before="0" w:after="0" w:line="240" w:lineRule="auto"/>
                                <w:rPr>
                                  <w:b/>
                                  <w:color w:val="FFFFFF" w:themeColor="background1"/>
                                </w:rPr>
                              </w:pPr>
                              <w:r w:rsidRPr="000E4054">
                                <w:rPr>
                                  <w:b/>
                                  <w:color w:val="FFFFFF" w:themeColor="background1"/>
                                </w:rPr>
                                <w:t xml:space="preserve">This document was prepared on the lands of the </w:t>
                              </w:r>
                              <w:proofErr w:type="spellStart"/>
                              <w:r w:rsidRPr="000E4054">
                                <w:rPr>
                                  <w:b/>
                                  <w:color w:val="FFFFFF" w:themeColor="background1"/>
                                </w:rPr>
                                <w:t>Kulin</w:t>
                              </w:r>
                              <w:proofErr w:type="spellEnd"/>
                              <w:r w:rsidRPr="000E4054">
                                <w:rPr>
                                  <w:b/>
                                  <w:color w:val="FFFFFF" w:themeColor="background1"/>
                                </w:rPr>
                                <w:t xml:space="preserve"> Nation.</w:t>
                              </w:r>
                              <w:r w:rsidRPr="001D4431">
                                <w:rPr>
                                  <w:b/>
                                  <w:color w:val="FFFFFF" w:themeColor="background1"/>
                                </w:rPr>
                                <w:t xml:space="preserve"> </w:t>
                              </w:r>
                            </w:p>
                            <w:p w14:paraId="5E044428" w14:textId="77777777" w:rsidR="00DA5E1A" w:rsidRDefault="00DA5E1A" w:rsidP="00DA5E1A">
                              <w:pPr>
                                <w:spacing w:before="0" w:after="0" w:line="240" w:lineRule="auto"/>
                                <w:rPr>
                                  <w:b/>
                                  <w:color w:val="FFFFFF" w:themeColor="background1"/>
                                </w:rPr>
                              </w:pPr>
                            </w:p>
                            <w:p w14:paraId="64B7A34C" w14:textId="77777777" w:rsidR="00DA5E1A" w:rsidRPr="00FD5AC2" w:rsidRDefault="00DA5E1A" w:rsidP="00DA5E1A">
                              <w:pPr>
                                <w:spacing w:before="0" w:after="0" w:line="240" w:lineRule="auto"/>
                                <w:rPr>
                                  <w:b/>
                                  <w:color w:val="FFFFFF" w:themeColor="background1"/>
                                </w:rPr>
                              </w:pPr>
                              <w:r>
                                <w:rPr>
                                  <w:noProof/>
                                  <w:lang w:val="en-AU" w:eastAsia="en-AU"/>
                                </w:rPr>
                                <w:drawing>
                                  <wp:inline distT="0" distB="0" distL="0" distR="0" wp14:anchorId="434C700A" wp14:editId="66731037">
                                    <wp:extent cx="360000" cy="216000"/>
                                    <wp:effectExtent l="0" t="0" r="2540" b="0"/>
                                    <wp:docPr id="7" name="Picture 7" descr="Image result for aboriginal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aboriginal flag 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216000"/>
                                            </a:xfrm>
                                            <a:prstGeom prst="rect">
                                              <a:avLst/>
                                            </a:prstGeom>
                                            <a:noFill/>
                                            <a:ln>
                                              <a:noFill/>
                                            </a:ln>
                                          </pic:spPr>
                                        </pic:pic>
                                      </a:graphicData>
                                    </a:graphic>
                                  </wp:inline>
                                </w:drawing>
                              </w:r>
                              <w:r>
                                <w:rPr>
                                  <w:noProof/>
                                  <w:lang w:val="en-AU" w:eastAsia="en-AU"/>
                                </w:rPr>
                                <w:drawing>
                                  <wp:inline distT="0" distB="0" distL="0" distR="0" wp14:anchorId="6741ECFD" wp14:editId="672D8C09">
                                    <wp:extent cx="324127" cy="216000"/>
                                    <wp:effectExtent l="0" t="0" r="0" b="0"/>
                                    <wp:docPr id="8" name="Picture 8" descr="Image result for torres straight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torres straight  flag 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127" cy="216000"/>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53A70B2" id="Group 60" o:spid="_x0000_s1028" style="position:absolute;margin-left:-57.45pt;margin-top:205.95pt;width:702.65pt;height:347.45pt;z-index:251764736;mso-height-relative:margin" coordsize="89236,44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">
                <v:rect id="Rectangle 29" o:spid="_x0000_s1029" style="position:absolute;width:89236;height:4065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JscQA&#10;AADbAAAADwAAAGRycy9kb3ducmV2LnhtbESP3WoCMRSE7wXfIZxC7zRbqT9djaIFwYIoWh/gsDnu&#10;BpOTdZPq9u2bguDlMDPfMLNF66y4UROMZwVv/QwEceG14VLB6Xvdm4AIEVmj9UwKfinAYt7tzDDX&#10;/s4Huh1jKRKEQ44KqhjrXMpQVOQw9H1NnLyzbxzGJJtS6gbvCe6sHGTZSDo0nBYqrOmzouJy/HEK&#10;vDmgHdrreDf5MPvT13m7HK22Sr2+tMspiEhtfIYf7Y1WMHyH/y/p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ybHEAAAA2wAAAA8AAAAAAAAAAAAAAAAAmAIAAGRycy9k&#10;b3ducmV2LnhtbFBLBQYAAAAABAAEAPUAAACJAwAAAAA=&#10;" fillcolor="#475eab" stroked="f">
                  <v:textbox>
                    <w:txbxContent>
                      <w:p w14:paraId="12D20487" w14:textId="77777777" w:rsidR="00DA5E1A" w:rsidRDefault="00DA5E1A" w:rsidP="00DA5E1A">
                        <w:pPr>
                          <w:jc w:val="center"/>
                        </w:pPr>
                      </w:p>
                    </w:txbxContent>
                  </v:textbox>
                </v:rect>
                <v:shapetype id="_x0000_t202" coordsize="21600,21600" o:spt="202" path="m,l,21600r21600,l21600,xe">
                  <v:stroke joinstyle="miter"/>
                  <v:path gradientshapeok="t" o:connecttype="rect"/>
                </v:shapetype>
                <v:shape id="Text Box 55" o:spid="_x0000_s1030" type="#_x0000_t202" style="position:absolute;left:7737;top:2813;width:32397;height:41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2D12CE26" w14:textId="77777777" w:rsidR="00DA5E1A" w:rsidRDefault="00DA5E1A" w:rsidP="00DA5E1A">
                        <w:pPr>
                          <w:spacing w:before="0" w:after="0" w:line="240" w:lineRule="auto"/>
                          <w:rPr>
                            <w:b/>
                            <w:color w:val="FFFFFF" w:themeColor="background1"/>
                          </w:rPr>
                        </w:pPr>
                        <w:r w:rsidRPr="000E4054">
                          <w:rPr>
                            <w:b/>
                            <w:color w:val="FFFFFF" w:themeColor="background1"/>
                          </w:rPr>
                          <w:t xml:space="preserve">The Victorian Council of Social Service is the peak body of the social and community sector in Victoria.  </w:t>
                        </w:r>
                      </w:p>
                      <w:p w14:paraId="457B513C" w14:textId="77777777" w:rsidR="00DA5E1A" w:rsidRDefault="00DA5E1A" w:rsidP="00DA5E1A">
                        <w:pPr>
                          <w:spacing w:before="0" w:after="0" w:line="240" w:lineRule="auto"/>
                          <w:rPr>
                            <w:b/>
                            <w:color w:val="FFFFFF" w:themeColor="background1"/>
                          </w:rPr>
                        </w:pPr>
                      </w:p>
                      <w:p w14:paraId="26E844F0" w14:textId="77777777" w:rsidR="00DA5E1A" w:rsidRPr="000E4054" w:rsidRDefault="00DA5E1A" w:rsidP="00DA5E1A">
                        <w:pPr>
                          <w:spacing w:before="0" w:after="0" w:line="240" w:lineRule="auto"/>
                          <w:rPr>
                            <w:b/>
                            <w:color w:val="FFFFFF" w:themeColor="background1"/>
                          </w:rPr>
                        </w:pPr>
                        <w:r w:rsidRPr="000E4054">
                          <w:rPr>
                            <w:b/>
                            <w:color w:val="FFFFFF" w:themeColor="background1"/>
                          </w:rPr>
                          <w:t xml:space="preserve">VCOSS members reflect the diversity of the sector and include large charities, peak organisations, small community services, advocacy groups, and individuals interested in social policy. </w:t>
                        </w:r>
                        <w:r w:rsidRPr="000E4054">
                          <w:rPr>
                            <w:b/>
                            <w:color w:val="FFFFFF" w:themeColor="background1"/>
                          </w:rPr>
                          <w:br/>
                        </w:r>
                      </w:p>
                      <w:p w14:paraId="37A9725F" w14:textId="77777777" w:rsidR="00DA5E1A" w:rsidRPr="000E4054" w:rsidRDefault="00DA5E1A" w:rsidP="00DA5E1A">
                        <w:pPr>
                          <w:spacing w:before="0" w:after="0" w:line="240" w:lineRule="auto"/>
                          <w:rPr>
                            <w:b/>
                            <w:color w:val="FFFFFF" w:themeColor="background1"/>
                          </w:rPr>
                        </w:pPr>
                        <w:r w:rsidRPr="000E4054">
                          <w:rPr>
                            <w:b/>
                            <w:color w:val="FFFFFF" w:themeColor="background1"/>
                          </w:rPr>
                          <w:t>In addition to supporting the sector, VCOSS represents the interests of vulnerable and disadvantaged Victorians in policy debates and advocates for the development of a sustainable, fair and equitable society.</w:t>
                        </w:r>
                        <w:r w:rsidRPr="000E4054">
                          <w:rPr>
                            <w:b/>
                            <w:color w:val="FFFFFF" w:themeColor="background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448"/>
                        </w:tblGrid>
                        <w:tr w:rsidR="00DA5E1A" w:rsidRPr="000E4054" w14:paraId="1FF54A40" w14:textId="77777777" w:rsidTr="000E4054">
                          <w:trPr>
                            <w:trHeight w:val="397"/>
                          </w:trPr>
                          <w:tc>
                            <w:tcPr>
                              <w:tcW w:w="697" w:type="dxa"/>
                              <w:vAlign w:val="center"/>
                            </w:tcPr>
                            <w:p w14:paraId="7A956F6A" w14:textId="77777777" w:rsidR="00DA5E1A" w:rsidRPr="000E4054" w:rsidRDefault="00DA5E1A" w:rsidP="007E484C">
                              <w:pPr>
                                <w:spacing w:before="0" w:after="0" w:line="240" w:lineRule="auto"/>
                                <w:rPr>
                                  <w:b/>
                                  <w:color w:val="FFFFFF" w:themeColor="background1"/>
                                </w:rPr>
                              </w:pPr>
                              <w:r>
                                <w:rPr>
                                  <w:b/>
                                  <w:noProof/>
                                  <w:color w:val="FFFFFF" w:themeColor="background1"/>
                                  <w:lang w:val="en-AU" w:eastAsia="en-AU"/>
                                </w:rPr>
                                <w:drawing>
                                  <wp:inline distT="0" distB="0" distL="0" distR="0" wp14:anchorId="169124BC" wp14:editId="593AF6C5">
                                    <wp:extent cx="173355" cy="173355"/>
                                    <wp:effectExtent l="0" t="0" r="0" b="0"/>
                                    <wp:docPr id="1" name="Picture 1"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social-symbo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2448" w:type="dxa"/>
                              <w:vAlign w:val="center"/>
                            </w:tcPr>
                            <w:p w14:paraId="51E02B98" w14:textId="77777777" w:rsidR="00DA5E1A" w:rsidRPr="000E4054" w:rsidRDefault="00DA5E1A" w:rsidP="007E484C">
                              <w:pPr>
                                <w:spacing w:before="0" w:after="0" w:line="240" w:lineRule="auto"/>
                                <w:rPr>
                                  <w:b/>
                                  <w:color w:val="FFFFFF" w:themeColor="background1"/>
                                </w:rPr>
                              </w:pPr>
                              <w:r w:rsidRPr="000E4054">
                                <w:rPr>
                                  <w:b/>
                                  <w:color w:val="FFFFFF" w:themeColor="background1"/>
                                </w:rPr>
                                <w:t>/</w:t>
                              </w:r>
                              <w:proofErr w:type="spellStart"/>
                              <w:r w:rsidRPr="000E4054">
                                <w:rPr>
                                  <w:b/>
                                  <w:color w:val="FFFFFF" w:themeColor="background1"/>
                                </w:rPr>
                                <w:t>vcoss</w:t>
                              </w:r>
                              <w:proofErr w:type="spellEnd"/>
                            </w:p>
                          </w:tc>
                        </w:tr>
                        <w:tr w:rsidR="00DA5E1A" w:rsidRPr="000E4054" w14:paraId="50EACF78" w14:textId="77777777" w:rsidTr="000E4054">
                          <w:trPr>
                            <w:trHeight w:val="397"/>
                          </w:trPr>
                          <w:tc>
                            <w:tcPr>
                              <w:tcW w:w="697" w:type="dxa"/>
                              <w:vAlign w:val="center"/>
                            </w:tcPr>
                            <w:p w14:paraId="202E3F89" w14:textId="77777777" w:rsidR="00DA5E1A" w:rsidRPr="000E4054" w:rsidRDefault="00DA5E1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4619BF6E" wp14:editId="64D1ACF6">
                                    <wp:extent cx="180000" cy="180000"/>
                                    <wp:effectExtent l="0" t="0" r="0" b="0"/>
                                    <wp:docPr id="2" name="Picture 2"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29482CC8" w14:textId="77777777" w:rsidR="00DA5E1A" w:rsidRPr="000E4054" w:rsidRDefault="00DA5E1A" w:rsidP="007E484C">
                              <w:pPr>
                                <w:spacing w:before="0" w:after="0" w:line="240" w:lineRule="auto"/>
                                <w:rPr>
                                  <w:b/>
                                  <w:color w:val="FFFFFF" w:themeColor="background1"/>
                                </w:rPr>
                              </w:pPr>
                              <w:r w:rsidRPr="000E4054">
                                <w:rPr>
                                  <w:b/>
                                  <w:color w:val="FFFFFF" w:themeColor="background1"/>
                                </w:rPr>
                                <w:t>@</w:t>
                              </w:r>
                              <w:proofErr w:type="spellStart"/>
                              <w:r w:rsidRPr="000E4054">
                                <w:rPr>
                                  <w:b/>
                                  <w:color w:val="FFFFFF" w:themeColor="background1"/>
                                </w:rPr>
                                <w:t>vcoss</w:t>
                              </w:r>
                              <w:proofErr w:type="spellEnd"/>
                            </w:p>
                          </w:tc>
                        </w:tr>
                        <w:tr w:rsidR="00DA5E1A" w:rsidRPr="000E4054" w14:paraId="2DA38EB8" w14:textId="77777777" w:rsidTr="000E4054">
                          <w:trPr>
                            <w:trHeight w:val="397"/>
                          </w:trPr>
                          <w:tc>
                            <w:tcPr>
                              <w:tcW w:w="697" w:type="dxa"/>
                              <w:vAlign w:val="center"/>
                            </w:tcPr>
                            <w:p w14:paraId="5B260E20" w14:textId="77777777" w:rsidR="00DA5E1A" w:rsidRPr="000E4054" w:rsidRDefault="00DA5E1A" w:rsidP="007E484C">
                              <w:pPr>
                                <w:spacing w:before="0" w:after="0" w:line="240" w:lineRule="auto"/>
                                <w:rPr>
                                  <w:b/>
                                  <w:color w:val="FFFFFF" w:themeColor="background1"/>
                                </w:rPr>
                              </w:pPr>
                              <w:r w:rsidRPr="000E4054">
                                <w:rPr>
                                  <w:b/>
                                  <w:noProof/>
                                  <w:color w:val="FFFFFF" w:themeColor="background1"/>
                                  <w:lang w:val="en-AU" w:eastAsia="en-AU"/>
                                </w:rPr>
                                <w:drawing>
                                  <wp:inline distT="0" distB="0" distL="0" distR="0" wp14:anchorId="5AE53694" wp14:editId="266BA41C">
                                    <wp:extent cx="180000" cy="180000"/>
                                    <wp:effectExtent l="0" t="0" r="0" b="0"/>
                                    <wp:docPr id="4" name="Picture 4"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
                          </w:tc>
                          <w:tc>
                            <w:tcPr>
                              <w:tcW w:w="2448" w:type="dxa"/>
                              <w:vAlign w:val="center"/>
                            </w:tcPr>
                            <w:p w14:paraId="5DF8D22A" w14:textId="77777777" w:rsidR="00DA5E1A" w:rsidRPr="000E4054" w:rsidRDefault="00DA5E1A" w:rsidP="007E484C">
                              <w:pPr>
                                <w:spacing w:before="0" w:after="0" w:line="240" w:lineRule="auto"/>
                                <w:rPr>
                                  <w:b/>
                                  <w:color w:val="FFFFFF" w:themeColor="background1"/>
                                </w:rPr>
                              </w:pPr>
                              <w:r w:rsidRPr="000E4054">
                                <w:rPr>
                                  <w:b/>
                                  <w:color w:val="FFFFFF" w:themeColor="background1"/>
                                </w:rPr>
                                <w:t>vcoss.org.au</w:t>
                              </w:r>
                            </w:p>
                          </w:tc>
                        </w:tr>
                      </w:tbl>
                      <w:p w14:paraId="76A6ED2D" w14:textId="77777777" w:rsidR="00DA5E1A" w:rsidRPr="00E90402" w:rsidRDefault="00DA5E1A" w:rsidP="00DA5E1A">
                        <w:pPr>
                          <w:rPr>
                            <w:b/>
                            <w:color w:val="E6EAEF"/>
                            <w:sz w:val="28"/>
                            <w:szCs w:val="28"/>
                          </w:rPr>
                        </w:pPr>
                      </w:p>
                    </w:txbxContent>
                  </v:textbox>
                </v:shape>
                <v:shape id="_x0000_s1031" type="#_x0000_t202" style="position:absolute;left:41323;top:2813;width:29953;height:41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0A837F92" w14:textId="40196251" w:rsidR="00DA5E1A" w:rsidRPr="000E4054" w:rsidRDefault="00DA5E1A" w:rsidP="00DA5E1A">
                        <w:pPr>
                          <w:spacing w:before="0" w:after="0" w:line="240" w:lineRule="auto"/>
                          <w:rPr>
                            <w:b/>
                            <w:color w:val="FFFFFF" w:themeColor="background1"/>
                          </w:rPr>
                        </w:pPr>
                        <w:r w:rsidRPr="000E4054">
                          <w:rPr>
                            <w:b/>
                            <w:color w:val="FFFFFF" w:themeColor="background1"/>
                          </w:rPr>
                          <w:t>This submission was prepared</w:t>
                        </w:r>
                        <w:r>
                          <w:rPr>
                            <w:b/>
                            <w:color w:val="FFFFFF" w:themeColor="background1"/>
                          </w:rPr>
                          <w:t xml:space="preserve"> by Emma O’Neill and </w:t>
                        </w:r>
                        <w:proofErr w:type="spellStart"/>
                        <w:r>
                          <w:rPr>
                            <w:b/>
                            <w:color w:val="FFFFFF" w:themeColor="background1"/>
                          </w:rPr>
                          <w:t>authorised</w:t>
                        </w:r>
                        <w:proofErr w:type="spellEnd"/>
                        <w:r>
                          <w:rPr>
                            <w:b/>
                            <w:color w:val="FFFFFF" w:themeColor="background1"/>
                          </w:rPr>
                          <w:t xml:space="preserve"> by</w:t>
                        </w:r>
                        <w:r>
                          <w:rPr>
                            <w:b/>
                            <w:color w:val="FFFFFF" w:themeColor="background1"/>
                          </w:rPr>
                          <w:br/>
                        </w:r>
                        <w:r w:rsidRPr="000E4054">
                          <w:rPr>
                            <w:b/>
                            <w:color w:val="FFFFFF" w:themeColor="background1"/>
                          </w:rPr>
                          <w:t>VCOSS CEO Emma King.</w:t>
                        </w:r>
                        <w:r w:rsidRPr="000E4054">
                          <w:rPr>
                            <w:b/>
                            <w:color w:val="FFFFFF" w:themeColor="background1"/>
                          </w:rPr>
                          <w:br/>
                        </w:r>
                      </w:p>
                      <w:p w14:paraId="71C1BCC2" w14:textId="5C97011B" w:rsidR="00DA5E1A" w:rsidRPr="000E4054" w:rsidRDefault="00DA5E1A" w:rsidP="00DA5E1A">
                        <w:pPr>
                          <w:spacing w:before="0" w:after="0" w:line="240" w:lineRule="auto"/>
                          <w:rPr>
                            <w:b/>
                            <w:color w:val="FFFFFF" w:themeColor="background1"/>
                          </w:rPr>
                        </w:pPr>
                        <w:r w:rsidRPr="000E4054">
                          <w:rPr>
                            <w:b/>
                            <w:color w:val="FFFFFF" w:themeColor="background1"/>
                          </w:rPr>
                          <w:t xml:space="preserve">For enquiries please contact </w:t>
                        </w:r>
                        <w:r>
                          <w:rPr>
                            <w:b/>
                            <w:color w:val="FFFFFF" w:themeColor="background1"/>
                          </w:rPr>
                          <w:t xml:space="preserve">Llewellyn Reynders </w:t>
                        </w:r>
                        <w:r w:rsidRPr="000E4054">
                          <w:rPr>
                            <w:b/>
                            <w:color w:val="FFFFFF" w:themeColor="background1"/>
                          </w:rPr>
                          <w:t xml:space="preserve">at </w:t>
                        </w:r>
                        <w:hyperlink r:id="rId21" w:history="1">
                          <w:r w:rsidRPr="0015294D">
                            <w:rPr>
                              <w:rStyle w:val="Hyperlink"/>
                            </w:rPr>
                            <w:t>llewellyn.reynders@vcoss.org.au</w:t>
                          </w:r>
                        </w:hyperlink>
                        <w:r w:rsidRPr="000E4054">
                          <w:rPr>
                            <w:b/>
                            <w:color w:val="FFFFFF" w:themeColor="background1"/>
                          </w:rPr>
                          <w:br/>
                        </w:r>
                      </w:p>
                      <w:p w14:paraId="30734B93" w14:textId="77777777" w:rsidR="00DA5E1A" w:rsidRDefault="00DA5E1A" w:rsidP="00DA5E1A">
                        <w:pPr>
                          <w:spacing w:before="0" w:after="0" w:line="240" w:lineRule="auto"/>
                          <w:rPr>
                            <w:b/>
                            <w:color w:val="FFFFFF" w:themeColor="background1"/>
                          </w:rPr>
                        </w:pPr>
                        <w:r w:rsidRPr="001D4431">
                          <w:rPr>
                            <w:b/>
                            <w:color w:val="FFFFFF" w:themeColor="background1"/>
                          </w:rPr>
                          <w:t xml:space="preserve">A fully </w:t>
                        </w:r>
                        <w:r>
                          <w:rPr>
                            <w:b/>
                            <w:color w:val="FFFFFF" w:themeColor="background1"/>
                          </w:rPr>
                          <w:t>accessible version is available</w:t>
                        </w:r>
                        <w:r>
                          <w:rPr>
                            <w:b/>
                            <w:color w:val="FFFFFF" w:themeColor="background1"/>
                          </w:rPr>
                          <w:br/>
                          <w:t xml:space="preserve">online at </w:t>
                        </w:r>
                        <w:hyperlink r:id="rId22" w:history="1">
                          <w:r w:rsidRPr="00AB1929">
                            <w:rPr>
                              <w:rStyle w:val="Hyperlink"/>
                            </w:rPr>
                            <w:t>vcoss.org.au</w:t>
                          </w:r>
                        </w:hyperlink>
                      </w:p>
                      <w:p w14:paraId="52270BDC" w14:textId="77777777" w:rsidR="00DA5E1A" w:rsidRDefault="00DA5E1A" w:rsidP="00DA5E1A">
                        <w:pPr>
                          <w:spacing w:before="0" w:after="0" w:line="240" w:lineRule="auto"/>
                          <w:rPr>
                            <w:b/>
                            <w:color w:val="FFFFFF" w:themeColor="background1"/>
                          </w:rPr>
                        </w:pPr>
                      </w:p>
                      <w:p w14:paraId="3EFEDF5F" w14:textId="77777777" w:rsidR="00DA5E1A" w:rsidRDefault="00DA5E1A" w:rsidP="00DA5E1A">
                        <w:pPr>
                          <w:spacing w:before="0" w:after="0" w:line="240" w:lineRule="auto"/>
                          <w:rPr>
                            <w:b/>
                            <w:color w:val="FFFFFF" w:themeColor="background1"/>
                          </w:rPr>
                        </w:pPr>
                        <w:r>
                          <w:rPr>
                            <w:noProof/>
                            <w:lang w:val="en-AU" w:eastAsia="en-AU"/>
                          </w:rPr>
                          <w:drawing>
                            <wp:inline distT="0" distB="0" distL="0" distR="0" wp14:anchorId="529F7901" wp14:editId="4AF20F94">
                              <wp:extent cx="684701" cy="239799"/>
                              <wp:effectExtent l="0" t="0" r="1270" b="8255"/>
                              <wp:docPr id="6" name="Picture 6" descr="Image result for CC BY N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CC BY NC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0450" cy="241812"/>
                                      </a:xfrm>
                                      <a:prstGeom prst="rect">
                                        <a:avLst/>
                                      </a:prstGeom>
                                      <a:noFill/>
                                      <a:ln>
                                        <a:noFill/>
                                      </a:ln>
                                    </pic:spPr>
                                  </pic:pic>
                                </a:graphicData>
                              </a:graphic>
                            </wp:inline>
                          </w:drawing>
                        </w:r>
                      </w:p>
                      <w:p w14:paraId="52CC214B" w14:textId="77777777" w:rsidR="00DA5E1A" w:rsidRDefault="00DA5E1A" w:rsidP="00DA5E1A">
                        <w:pPr>
                          <w:spacing w:before="0" w:after="0" w:line="240" w:lineRule="auto"/>
                          <w:rPr>
                            <w:b/>
                            <w:color w:val="FFFFFF" w:themeColor="background1"/>
                          </w:rPr>
                        </w:pPr>
                      </w:p>
                      <w:p w14:paraId="7C2615A8" w14:textId="77777777" w:rsidR="00DA5E1A" w:rsidRDefault="00DA5E1A" w:rsidP="00DA5E1A">
                        <w:pPr>
                          <w:spacing w:before="0" w:after="0" w:line="240" w:lineRule="auto"/>
                          <w:rPr>
                            <w:b/>
                            <w:color w:val="FFFFFF" w:themeColor="background1"/>
                          </w:rPr>
                        </w:pPr>
                        <w:r w:rsidRPr="001D4431">
                          <w:rPr>
                            <w:b/>
                            <w:color w:val="FFFFFF" w:themeColor="background1"/>
                          </w:rPr>
                          <w:t>VCOSS acknowledges the traditional owners of country and pays its respects to pas</w:t>
                        </w:r>
                        <w:r>
                          <w:rPr>
                            <w:b/>
                            <w:color w:val="FFFFFF" w:themeColor="background1"/>
                          </w:rPr>
                          <w:t>t, present and emerging Elders.</w:t>
                        </w:r>
                      </w:p>
                      <w:p w14:paraId="5C19BEF2" w14:textId="77777777" w:rsidR="00DA5E1A" w:rsidRDefault="00DA5E1A" w:rsidP="00DA5E1A">
                        <w:pPr>
                          <w:spacing w:before="0" w:after="0" w:line="240" w:lineRule="auto"/>
                          <w:rPr>
                            <w:b/>
                            <w:color w:val="FFFFFF" w:themeColor="background1"/>
                          </w:rPr>
                        </w:pPr>
                      </w:p>
                      <w:p w14:paraId="62BF3FED" w14:textId="77777777" w:rsidR="00DA5E1A" w:rsidRDefault="00DA5E1A" w:rsidP="00DA5E1A">
                        <w:pPr>
                          <w:spacing w:before="0" w:after="0" w:line="240" w:lineRule="auto"/>
                          <w:rPr>
                            <w:b/>
                            <w:color w:val="FFFFFF" w:themeColor="background1"/>
                          </w:rPr>
                        </w:pPr>
                        <w:r w:rsidRPr="000E4054">
                          <w:rPr>
                            <w:b/>
                            <w:color w:val="FFFFFF" w:themeColor="background1"/>
                          </w:rPr>
                          <w:t xml:space="preserve">This document was prepared on the lands of the </w:t>
                        </w:r>
                        <w:proofErr w:type="spellStart"/>
                        <w:r w:rsidRPr="000E4054">
                          <w:rPr>
                            <w:b/>
                            <w:color w:val="FFFFFF" w:themeColor="background1"/>
                          </w:rPr>
                          <w:t>Kulin</w:t>
                        </w:r>
                        <w:proofErr w:type="spellEnd"/>
                        <w:r w:rsidRPr="000E4054">
                          <w:rPr>
                            <w:b/>
                            <w:color w:val="FFFFFF" w:themeColor="background1"/>
                          </w:rPr>
                          <w:t xml:space="preserve"> Nation.</w:t>
                        </w:r>
                        <w:r w:rsidRPr="001D4431">
                          <w:rPr>
                            <w:b/>
                            <w:color w:val="FFFFFF" w:themeColor="background1"/>
                          </w:rPr>
                          <w:t xml:space="preserve"> </w:t>
                        </w:r>
                      </w:p>
                      <w:p w14:paraId="5E044428" w14:textId="77777777" w:rsidR="00DA5E1A" w:rsidRDefault="00DA5E1A" w:rsidP="00DA5E1A">
                        <w:pPr>
                          <w:spacing w:before="0" w:after="0" w:line="240" w:lineRule="auto"/>
                          <w:rPr>
                            <w:b/>
                            <w:color w:val="FFFFFF" w:themeColor="background1"/>
                          </w:rPr>
                        </w:pPr>
                      </w:p>
                      <w:p w14:paraId="64B7A34C" w14:textId="77777777" w:rsidR="00DA5E1A" w:rsidRPr="00FD5AC2" w:rsidRDefault="00DA5E1A" w:rsidP="00DA5E1A">
                        <w:pPr>
                          <w:spacing w:before="0" w:after="0" w:line="240" w:lineRule="auto"/>
                          <w:rPr>
                            <w:b/>
                            <w:color w:val="FFFFFF" w:themeColor="background1"/>
                          </w:rPr>
                        </w:pPr>
                        <w:r>
                          <w:rPr>
                            <w:noProof/>
                            <w:lang w:val="en-AU" w:eastAsia="en-AU"/>
                          </w:rPr>
                          <w:drawing>
                            <wp:inline distT="0" distB="0" distL="0" distR="0" wp14:anchorId="434C700A" wp14:editId="66731037">
                              <wp:extent cx="360000" cy="216000"/>
                              <wp:effectExtent l="0" t="0" r="2540" b="0"/>
                              <wp:docPr id="7" name="Picture 7" descr="Image result for aboriginal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result for aboriginal flag 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0000" cy="216000"/>
                                      </a:xfrm>
                                      <a:prstGeom prst="rect">
                                        <a:avLst/>
                                      </a:prstGeom>
                                      <a:noFill/>
                                      <a:ln>
                                        <a:noFill/>
                                      </a:ln>
                                    </pic:spPr>
                                  </pic:pic>
                                </a:graphicData>
                              </a:graphic>
                            </wp:inline>
                          </w:drawing>
                        </w:r>
                        <w:r>
                          <w:rPr>
                            <w:noProof/>
                            <w:lang w:val="en-AU" w:eastAsia="en-AU"/>
                          </w:rPr>
                          <w:drawing>
                            <wp:inline distT="0" distB="0" distL="0" distR="0" wp14:anchorId="6741ECFD" wp14:editId="672D8C09">
                              <wp:extent cx="324127" cy="216000"/>
                              <wp:effectExtent l="0" t="0" r="0" b="0"/>
                              <wp:docPr id="8" name="Picture 8" descr="Image result for torres straight  flag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result for torres straight  flag 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127" cy="216000"/>
                                      </a:xfrm>
                                      <a:prstGeom prst="rect">
                                        <a:avLst/>
                                      </a:prstGeom>
                                      <a:noFill/>
                                      <a:ln>
                                        <a:noFill/>
                                      </a:ln>
                                    </pic:spPr>
                                  </pic:pic>
                                </a:graphicData>
                              </a:graphic>
                            </wp:inline>
                          </w:drawing>
                        </w:r>
                      </w:p>
                    </w:txbxContent>
                  </v:textbox>
                </v:shape>
              </v:group>
            </w:pict>
          </mc:Fallback>
        </mc:AlternateContent>
      </w:r>
    </w:p>
    <w:sectPr w:rsidR="0041308A" w:rsidSect="00592EB4">
      <w:endnotePr>
        <w:numFmt w:val="decimal"/>
      </w:endnotePr>
      <w:type w:val="continuous"/>
      <w:pgSz w:w="11900" w:h="16840"/>
      <w:pgMar w:top="0" w:right="1268" w:bottom="0"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DC378" w14:textId="77777777" w:rsidR="001623B0" w:rsidRDefault="001623B0" w:rsidP="00CE5762">
      <w:r>
        <w:separator/>
      </w:r>
    </w:p>
  </w:endnote>
  <w:endnote w:type="continuationSeparator" w:id="0">
    <w:p w14:paraId="7D07B3D1" w14:textId="77777777" w:rsidR="001623B0" w:rsidRDefault="001623B0" w:rsidP="00CE5762">
      <w:r>
        <w:continuationSeparator/>
      </w:r>
    </w:p>
  </w:endnote>
  <w:endnote w:id="1">
    <w:p w14:paraId="7A52E562" w14:textId="45666300" w:rsidR="00A038BE" w:rsidRDefault="00A038BE">
      <w:pPr>
        <w:pStyle w:val="EndnoteText"/>
      </w:pPr>
      <w:r>
        <w:rPr>
          <w:rStyle w:val="EndnoteReference"/>
        </w:rPr>
        <w:endnoteRef/>
      </w:r>
      <w:r>
        <w:t xml:space="preserve"> Total Environment Centre and Renew, </w:t>
      </w:r>
      <w:r>
        <w:rPr>
          <w:i/>
        </w:rPr>
        <w:t>Cross about subsidies: The equity implications of rooftop solar in Australia</w:t>
      </w:r>
      <w:r>
        <w:t>, Discussion paper, December 2018, 7, 16. High reverse flows can cause voltage spikes that have to be managed by networks.</w:t>
      </w:r>
    </w:p>
  </w:endnote>
  <w:endnote w:id="2">
    <w:p w14:paraId="414FFF4D" w14:textId="5ABAF6BA" w:rsidR="00A038BE" w:rsidRDefault="00A038BE">
      <w:pPr>
        <w:pStyle w:val="EndnoteText"/>
      </w:pPr>
      <w:r>
        <w:rPr>
          <w:rStyle w:val="EndnoteReference"/>
        </w:rPr>
        <w:endnoteRef/>
      </w:r>
      <w:r>
        <w:t xml:space="preserve"> Victorian Council of Social Service, ‘Response—Minimum feed-in tariffs: ESC draft decision’, January 2018.</w:t>
      </w:r>
    </w:p>
  </w:endnote>
  <w:endnote w:id="3">
    <w:p w14:paraId="208A11A9" w14:textId="2D3B44B9" w:rsidR="00A038BE" w:rsidRDefault="00A038BE">
      <w:pPr>
        <w:pStyle w:val="EndnoteText"/>
      </w:pPr>
      <w:r>
        <w:rPr>
          <w:rStyle w:val="EndnoteReference"/>
        </w:rPr>
        <w:endnoteRef/>
      </w:r>
      <w:r>
        <w:t xml:space="preserve"> Essential Services Commission, </w:t>
      </w:r>
      <w:r>
        <w:rPr>
          <w:i/>
        </w:rPr>
        <w:t xml:space="preserve">Victorian Default Offer for domestic and small business electricity </w:t>
      </w:r>
      <w:r w:rsidRPr="001618A8">
        <w:rPr>
          <w:i/>
        </w:rPr>
        <w:t>customers</w:t>
      </w:r>
      <w:r>
        <w:t xml:space="preserve">, Staff working paper, 21 December 2018, </w:t>
      </w:r>
      <w:r w:rsidRPr="001618A8">
        <w:t>8</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FD8A3" w14:textId="77777777" w:rsidR="00442464" w:rsidRDefault="00442464">
    <w:pPr>
      <w:pStyle w:val="Footer"/>
      <w:rPr>
        <w:b/>
      </w:rPr>
    </w:pPr>
  </w:p>
  <w:p w14:paraId="1B86DDED" w14:textId="64CCB24F" w:rsidR="00442464" w:rsidRDefault="00D96828">
    <w:pPr>
      <w:pStyle w:val="Footer"/>
    </w:pPr>
    <w:r>
      <w:rPr>
        <w:b/>
      </w:rPr>
      <w:t xml:space="preserve">VCOSS response </w:t>
    </w:r>
    <w:r w:rsidR="00DA5E1A">
      <w:rPr>
        <w:b/>
      </w:rPr>
      <w:t>to draft decision on minimum feed-in tariffs 2019-20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2FB1" w14:textId="77777777" w:rsidR="00442464" w:rsidRDefault="00442464">
    <w:pPr>
      <w:pStyle w:val="Footer"/>
      <w:jc w:val="right"/>
    </w:pPr>
    <w:r>
      <w:rPr>
        <w:noProof/>
        <w:lang w:val="en-AU" w:eastAsia="en-AU"/>
      </w:rPr>
      <w:drawing>
        <wp:anchor distT="0" distB="0" distL="114300" distR="114300" simplePos="0" relativeHeight="251660288" behindDoc="1" locked="0" layoutInCell="1" allowOverlap="1" wp14:anchorId="1F48AA29" wp14:editId="41B4B053">
          <wp:simplePos x="0" y="0"/>
          <wp:positionH relativeFrom="column">
            <wp:posOffset>5461195</wp:posOffset>
          </wp:positionH>
          <wp:positionV relativeFrom="paragraph">
            <wp:posOffset>-134620</wp:posOffset>
          </wp:positionV>
          <wp:extent cx="1560127" cy="1205243"/>
          <wp:effectExtent l="0" t="0" r="254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ibbon.png"/>
                  <pic:cNvPicPr/>
                </pic:nvPicPr>
                <pic:blipFill>
                  <a:blip r:embed="rId1">
                    <a:extLst>
                      <a:ext uri="{28A0092B-C50C-407E-A947-70E740481C1C}">
                        <a14:useLocalDpi xmlns:a14="http://schemas.microsoft.com/office/drawing/2010/main" val="0"/>
                      </a:ext>
                    </a:extLst>
                  </a:blip>
                  <a:stretch>
                    <a:fillRect/>
                  </a:stretch>
                </pic:blipFill>
                <pic:spPr>
                  <a:xfrm>
                    <a:off x="0" y="0"/>
                    <a:ext cx="1560127" cy="1205243"/>
                  </a:xfrm>
                  <a:prstGeom prst="rect">
                    <a:avLst/>
                  </a:prstGeom>
                </pic:spPr>
              </pic:pic>
            </a:graphicData>
          </a:graphic>
          <wp14:sizeRelH relativeFrom="margin">
            <wp14:pctWidth>0</wp14:pctWidth>
          </wp14:sizeRelH>
          <wp14:sizeRelV relativeFrom="margin">
            <wp14:pctHeight>0</wp14:pctHeight>
          </wp14:sizeRelV>
        </wp:anchor>
      </w:drawing>
    </w:r>
  </w:p>
  <w:p w14:paraId="02B3644F" w14:textId="77777777" w:rsidR="00442464" w:rsidRPr="00442464" w:rsidRDefault="00EC6AD3" w:rsidP="00442464">
    <w:pPr>
      <w:pStyle w:val="Footer"/>
      <w:jc w:val="right"/>
      <w:rPr>
        <w:b/>
        <w:color w:val="B2A1C7" w:themeColor="accent4" w:themeTint="99"/>
      </w:rPr>
    </w:pPr>
    <w:sdt>
      <w:sdtPr>
        <w:id w:val="-1250880029"/>
        <w:docPartObj>
          <w:docPartGallery w:val="Page Numbers (Bottom of Page)"/>
          <w:docPartUnique/>
        </w:docPartObj>
      </w:sdtPr>
      <w:sdtEndPr>
        <w:rPr>
          <w:b/>
          <w:noProof/>
          <w:color w:val="B2A1C7" w:themeColor="accent4" w:themeTint="99"/>
        </w:rPr>
      </w:sdtEndPr>
      <w:sdtContent>
        <w:r w:rsidR="00442464" w:rsidRPr="00442464">
          <w:rPr>
            <w:b/>
            <w:color w:val="FFFFFF" w:themeColor="background1"/>
          </w:rPr>
          <w:fldChar w:fldCharType="begin"/>
        </w:r>
        <w:r w:rsidR="00442464" w:rsidRPr="00442464">
          <w:rPr>
            <w:b/>
            <w:color w:val="FFFFFF" w:themeColor="background1"/>
          </w:rPr>
          <w:instrText xml:space="preserve"> PAGE   \* MERGEFORMAT </w:instrText>
        </w:r>
        <w:r w:rsidR="00442464" w:rsidRPr="00442464">
          <w:rPr>
            <w:b/>
            <w:color w:val="FFFFFF" w:themeColor="background1"/>
          </w:rPr>
          <w:fldChar w:fldCharType="separate"/>
        </w:r>
        <w:r>
          <w:rPr>
            <w:b/>
            <w:noProof/>
            <w:color w:val="FFFFFF" w:themeColor="background1"/>
          </w:rPr>
          <w:t>1</w:t>
        </w:r>
        <w:r w:rsidR="00442464" w:rsidRPr="00442464">
          <w:rPr>
            <w:b/>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5D459" w14:textId="77777777" w:rsidR="001623B0" w:rsidRDefault="001623B0" w:rsidP="00CE5762">
      <w:r>
        <w:separator/>
      </w:r>
    </w:p>
  </w:footnote>
  <w:footnote w:type="continuationSeparator" w:id="0">
    <w:p w14:paraId="6C79A1A0" w14:textId="77777777" w:rsidR="001623B0" w:rsidRDefault="001623B0" w:rsidP="00CE5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8999" w14:textId="77777777" w:rsidR="00580A0A" w:rsidRDefault="00580A0A" w:rsidP="00CE5762">
    <w:pPr>
      <w:pStyle w:val="Header"/>
    </w:pPr>
  </w:p>
  <w:p w14:paraId="5FD8B51B" w14:textId="77777777" w:rsidR="00580A0A" w:rsidRDefault="00580A0A" w:rsidP="00CE5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AE40B" w14:textId="77777777" w:rsidR="00E90402" w:rsidRDefault="00E90402" w:rsidP="00E90402">
    <w:pPr>
      <w:pStyle w:val="Header"/>
      <w:tabs>
        <w:tab w:val="clear" w:pos="4320"/>
        <w:tab w:val="clear" w:pos="8640"/>
        <w:tab w:val="left" w:pos="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C05737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202.5pt;visibility:visible;mso-wrap-style:square" o:bullet="t">
        <v:imagedata r:id="rId1" o:title="facebook-social-symbol"/>
      </v:shape>
    </w:pict>
  </w:numPicBullet>
  <w:abstractNum w:abstractNumId="0" w15:restartNumberingAfterBreak="0">
    <w:nsid w:val="06A80AD2"/>
    <w:multiLevelType w:val="hybridMultilevel"/>
    <w:tmpl w:val="AA3C4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52E16"/>
    <w:multiLevelType w:val="hybridMultilevel"/>
    <w:tmpl w:val="6CEC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F1621"/>
    <w:multiLevelType w:val="hybridMultilevel"/>
    <w:tmpl w:val="944EF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60196C"/>
    <w:multiLevelType w:val="hybridMultilevel"/>
    <w:tmpl w:val="6870F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BC159B"/>
    <w:multiLevelType w:val="hybridMultilevel"/>
    <w:tmpl w:val="35706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458282F"/>
    <w:multiLevelType w:val="hybridMultilevel"/>
    <w:tmpl w:val="F092BDFA"/>
    <w:lvl w:ilvl="0" w:tplc="D81685BA">
      <w:start w:val="1"/>
      <w:numFmt w:val="bullet"/>
      <w:pStyle w:val="Boxlist"/>
      <w:lvlText w:val=""/>
      <w:lvlJc w:val="left"/>
      <w:pPr>
        <w:ind w:left="1615" w:hanging="360"/>
      </w:pPr>
      <w:rPr>
        <w:rFonts w:ascii="Symbol" w:hAnsi="Symbol" w:hint="default"/>
      </w:rPr>
    </w:lvl>
    <w:lvl w:ilvl="1" w:tplc="0C090003" w:tentative="1">
      <w:start w:val="1"/>
      <w:numFmt w:val="bullet"/>
      <w:lvlText w:val="o"/>
      <w:lvlJc w:val="left"/>
      <w:pPr>
        <w:ind w:left="2335" w:hanging="360"/>
      </w:pPr>
      <w:rPr>
        <w:rFonts w:ascii="Courier New" w:hAnsi="Courier New" w:cs="Courier New" w:hint="default"/>
      </w:rPr>
    </w:lvl>
    <w:lvl w:ilvl="2" w:tplc="0C090005" w:tentative="1">
      <w:start w:val="1"/>
      <w:numFmt w:val="bullet"/>
      <w:lvlText w:val=""/>
      <w:lvlJc w:val="left"/>
      <w:pPr>
        <w:ind w:left="3055" w:hanging="360"/>
      </w:pPr>
      <w:rPr>
        <w:rFonts w:ascii="Wingdings" w:hAnsi="Wingdings" w:hint="default"/>
      </w:rPr>
    </w:lvl>
    <w:lvl w:ilvl="3" w:tplc="0C090001" w:tentative="1">
      <w:start w:val="1"/>
      <w:numFmt w:val="bullet"/>
      <w:lvlText w:val=""/>
      <w:lvlJc w:val="left"/>
      <w:pPr>
        <w:ind w:left="3775" w:hanging="360"/>
      </w:pPr>
      <w:rPr>
        <w:rFonts w:ascii="Symbol" w:hAnsi="Symbol" w:hint="default"/>
      </w:rPr>
    </w:lvl>
    <w:lvl w:ilvl="4" w:tplc="0C090003" w:tentative="1">
      <w:start w:val="1"/>
      <w:numFmt w:val="bullet"/>
      <w:lvlText w:val="o"/>
      <w:lvlJc w:val="left"/>
      <w:pPr>
        <w:ind w:left="4495" w:hanging="360"/>
      </w:pPr>
      <w:rPr>
        <w:rFonts w:ascii="Courier New" w:hAnsi="Courier New" w:cs="Courier New" w:hint="default"/>
      </w:rPr>
    </w:lvl>
    <w:lvl w:ilvl="5" w:tplc="0C090005" w:tentative="1">
      <w:start w:val="1"/>
      <w:numFmt w:val="bullet"/>
      <w:lvlText w:val=""/>
      <w:lvlJc w:val="left"/>
      <w:pPr>
        <w:ind w:left="5215" w:hanging="360"/>
      </w:pPr>
      <w:rPr>
        <w:rFonts w:ascii="Wingdings" w:hAnsi="Wingdings" w:hint="default"/>
      </w:rPr>
    </w:lvl>
    <w:lvl w:ilvl="6" w:tplc="0C090001" w:tentative="1">
      <w:start w:val="1"/>
      <w:numFmt w:val="bullet"/>
      <w:lvlText w:val=""/>
      <w:lvlJc w:val="left"/>
      <w:pPr>
        <w:ind w:left="5935" w:hanging="360"/>
      </w:pPr>
      <w:rPr>
        <w:rFonts w:ascii="Symbol" w:hAnsi="Symbol" w:hint="default"/>
      </w:rPr>
    </w:lvl>
    <w:lvl w:ilvl="7" w:tplc="0C090003" w:tentative="1">
      <w:start w:val="1"/>
      <w:numFmt w:val="bullet"/>
      <w:lvlText w:val="o"/>
      <w:lvlJc w:val="left"/>
      <w:pPr>
        <w:ind w:left="6655" w:hanging="360"/>
      </w:pPr>
      <w:rPr>
        <w:rFonts w:ascii="Courier New" w:hAnsi="Courier New" w:cs="Courier New" w:hint="default"/>
      </w:rPr>
    </w:lvl>
    <w:lvl w:ilvl="8" w:tplc="0C090005" w:tentative="1">
      <w:start w:val="1"/>
      <w:numFmt w:val="bullet"/>
      <w:lvlText w:val=""/>
      <w:lvlJc w:val="left"/>
      <w:pPr>
        <w:ind w:left="7375" w:hanging="360"/>
      </w:pPr>
      <w:rPr>
        <w:rFonts w:ascii="Wingdings" w:hAnsi="Wingdings" w:hint="default"/>
      </w:rPr>
    </w:lvl>
  </w:abstractNum>
  <w:abstractNum w:abstractNumId="6" w15:restartNumberingAfterBreak="0">
    <w:nsid w:val="44FD5DFF"/>
    <w:multiLevelType w:val="hybridMultilevel"/>
    <w:tmpl w:val="4ECC79EC"/>
    <w:lvl w:ilvl="0" w:tplc="D6D2EAEC">
      <w:numFmt w:val="bullet"/>
      <w:lvlText w:val="•"/>
      <w:lvlJc w:val="left"/>
      <w:pPr>
        <w:ind w:left="1080" w:hanging="360"/>
      </w:pPr>
      <w:rPr>
        <w:rFonts w:ascii="Gill Sans MT" w:eastAsiaTheme="minorHAnsi" w:hAnsi="Gill Sans M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CE2323F"/>
    <w:multiLevelType w:val="hybridMultilevel"/>
    <w:tmpl w:val="F754F14E"/>
    <w:lvl w:ilvl="0" w:tplc="D866535E">
      <w:start w:val="1"/>
      <w:numFmt w:val="bullet"/>
      <w:pStyle w:val="Overviewbox"/>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C7B69"/>
    <w:multiLevelType w:val="hybridMultilevel"/>
    <w:tmpl w:val="8B4A3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0" w15:restartNumberingAfterBreak="0">
    <w:nsid w:val="74B629DB"/>
    <w:multiLevelType w:val="hybridMultilevel"/>
    <w:tmpl w:val="F2FA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102ACB"/>
    <w:multiLevelType w:val="hybridMultilevel"/>
    <w:tmpl w:val="EE56F2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6601598"/>
    <w:multiLevelType w:val="hybridMultilevel"/>
    <w:tmpl w:val="29340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5D4F5F"/>
    <w:multiLevelType w:val="hybridMultilevel"/>
    <w:tmpl w:val="6100CFCC"/>
    <w:lvl w:ilvl="0" w:tplc="04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4" w15:restartNumberingAfterBreak="0">
    <w:nsid w:val="78E54D04"/>
    <w:multiLevelType w:val="hybridMultilevel"/>
    <w:tmpl w:val="BFD84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304B2A"/>
    <w:multiLevelType w:val="hybridMultilevel"/>
    <w:tmpl w:val="A2729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9"/>
  </w:num>
  <w:num w:numId="4">
    <w:abstractNumId w:val="6"/>
  </w:num>
  <w:num w:numId="5">
    <w:abstractNumId w:val="7"/>
  </w:num>
  <w:num w:numId="6">
    <w:abstractNumId w:val="5"/>
  </w:num>
  <w:num w:numId="7">
    <w:abstractNumId w:val="8"/>
  </w:num>
  <w:num w:numId="8">
    <w:abstractNumId w:val="11"/>
  </w:num>
  <w:num w:numId="9">
    <w:abstractNumId w:val="10"/>
  </w:num>
  <w:num w:numId="10">
    <w:abstractNumId w:val="1"/>
  </w:num>
  <w:num w:numId="11">
    <w:abstractNumId w:val="14"/>
  </w:num>
  <w:num w:numId="12">
    <w:abstractNumId w:val="3"/>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AC"/>
    <w:rsid w:val="00007C97"/>
    <w:rsid w:val="000131FF"/>
    <w:rsid w:val="00014C26"/>
    <w:rsid w:val="000275F8"/>
    <w:rsid w:val="00027A57"/>
    <w:rsid w:val="00027DDF"/>
    <w:rsid w:val="0003069D"/>
    <w:rsid w:val="00034D0B"/>
    <w:rsid w:val="00035799"/>
    <w:rsid w:val="00045595"/>
    <w:rsid w:val="00051296"/>
    <w:rsid w:val="00060F25"/>
    <w:rsid w:val="000772E2"/>
    <w:rsid w:val="00087633"/>
    <w:rsid w:val="000A0B02"/>
    <w:rsid w:val="000A5AA7"/>
    <w:rsid w:val="000B1851"/>
    <w:rsid w:val="000C4704"/>
    <w:rsid w:val="000E4054"/>
    <w:rsid w:val="00115BF9"/>
    <w:rsid w:val="00116D81"/>
    <w:rsid w:val="0016053F"/>
    <w:rsid w:val="001607B4"/>
    <w:rsid w:val="001618A8"/>
    <w:rsid w:val="001623B0"/>
    <w:rsid w:val="001860B6"/>
    <w:rsid w:val="001966EC"/>
    <w:rsid w:val="001B35AC"/>
    <w:rsid w:val="001D1294"/>
    <w:rsid w:val="001D4431"/>
    <w:rsid w:val="001E0189"/>
    <w:rsid w:val="001E7495"/>
    <w:rsid w:val="00206EE4"/>
    <w:rsid w:val="002142C6"/>
    <w:rsid w:val="0022065D"/>
    <w:rsid w:val="002254B8"/>
    <w:rsid w:val="00233087"/>
    <w:rsid w:val="00253F7E"/>
    <w:rsid w:val="00280556"/>
    <w:rsid w:val="00282D54"/>
    <w:rsid w:val="002836D5"/>
    <w:rsid w:val="0028755C"/>
    <w:rsid w:val="00294716"/>
    <w:rsid w:val="002963A2"/>
    <w:rsid w:val="0029643A"/>
    <w:rsid w:val="002B03DF"/>
    <w:rsid w:val="002B3596"/>
    <w:rsid w:val="002B56EC"/>
    <w:rsid w:val="002D294A"/>
    <w:rsid w:val="002D378B"/>
    <w:rsid w:val="00311464"/>
    <w:rsid w:val="00321ED2"/>
    <w:rsid w:val="00330773"/>
    <w:rsid w:val="0033740F"/>
    <w:rsid w:val="003426C8"/>
    <w:rsid w:val="0037078A"/>
    <w:rsid w:val="0038171D"/>
    <w:rsid w:val="00390F2D"/>
    <w:rsid w:val="003A2A3E"/>
    <w:rsid w:val="003A4875"/>
    <w:rsid w:val="003A7FD0"/>
    <w:rsid w:val="003F60D5"/>
    <w:rsid w:val="003F6439"/>
    <w:rsid w:val="004108C7"/>
    <w:rsid w:val="004111EC"/>
    <w:rsid w:val="0041308A"/>
    <w:rsid w:val="00415DA2"/>
    <w:rsid w:val="00442464"/>
    <w:rsid w:val="004530E1"/>
    <w:rsid w:val="004540DF"/>
    <w:rsid w:val="00454357"/>
    <w:rsid w:val="004943E5"/>
    <w:rsid w:val="004B3345"/>
    <w:rsid w:val="004B626F"/>
    <w:rsid w:val="004C3261"/>
    <w:rsid w:val="004C7127"/>
    <w:rsid w:val="004D59CB"/>
    <w:rsid w:val="004D6536"/>
    <w:rsid w:val="00502ADD"/>
    <w:rsid w:val="00507679"/>
    <w:rsid w:val="0051299C"/>
    <w:rsid w:val="00515277"/>
    <w:rsid w:val="005217E3"/>
    <w:rsid w:val="005330F7"/>
    <w:rsid w:val="00541925"/>
    <w:rsid w:val="00561E1B"/>
    <w:rsid w:val="00567BB8"/>
    <w:rsid w:val="00580A0A"/>
    <w:rsid w:val="00583743"/>
    <w:rsid w:val="00592EB4"/>
    <w:rsid w:val="00595FD0"/>
    <w:rsid w:val="005A1D80"/>
    <w:rsid w:val="005A5800"/>
    <w:rsid w:val="005D2943"/>
    <w:rsid w:val="005D5296"/>
    <w:rsid w:val="005E0E56"/>
    <w:rsid w:val="006060BD"/>
    <w:rsid w:val="0060773A"/>
    <w:rsid w:val="00617D53"/>
    <w:rsid w:val="00630143"/>
    <w:rsid w:val="00631742"/>
    <w:rsid w:val="006440F8"/>
    <w:rsid w:val="00647BEA"/>
    <w:rsid w:val="00663591"/>
    <w:rsid w:val="006720A0"/>
    <w:rsid w:val="006729EC"/>
    <w:rsid w:val="00675E45"/>
    <w:rsid w:val="006B2669"/>
    <w:rsid w:val="006C087A"/>
    <w:rsid w:val="00702270"/>
    <w:rsid w:val="00746EDF"/>
    <w:rsid w:val="0076023D"/>
    <w:rsid w:val="0076141E"/>
    <w:rsid w:val="00763EDB"/>
    <w:rsid w:val="007655E0"/>
    <w:rsid w:val="00767550"/>
    <w:rsid w:val="00770916"/>
    <w:rsid w:val="00771394"/>
    <w:rsid w:val="00786E52"/>
    <w:rsid w:val="0079457A"/>
    <w:rsid w:val="00795492"/>
    <w:rsid w:val="007A1912"/>
    <w:rsid w:val="007A3835"/>
    <w:rsid w:val="007D231A"/>
    <w:rsid w:val="007E3514"/>
    <w:rsid w:val="007E484C"/>
    <w:rsid w:val="00806193"/>
    <w:rsid w:val="008223B7"/>
    <w:rsid w:val="00822F14"/>
    <w:rsid w:val="00835BF5"/>
    <w:rsid w:val="0084656E"/>
    <w:rsid w:val="00850BA3"/>
    <w:rsid w:val="00860016"/>
    <w:rsid w:val="00861035"/>
    <w:rsid w:val="008610B6"/>
    <w:rsid w:val="00897AC7"/>
    <w:rsid w:val="008E02D2"/>
    <w:rsid w:val="008E6F99"/>
    <w:rsid w:val="008F1F18"/>
    <w:rsid w:val="009136D7"/>
    <w:rsid w:val="00917655"/>
    <w:rsid w:val="00921520"/>
    <w:rsid w:val="009230EA"/>
    <w:rsid w:val="00930826"/>
    <w:rsid w:val="009519D2"/>
    <w:rsid w:val="009554FE"/>
    <w:rsid w:val="00962F5A"/>
    <w:rsid w:val="00965D71"/>
    <w:rsid w:val="00965DDD"/>
    <w:rsid w:val="00977E2F"/>
    <w:rsid w:val="00987820"/>
    <w:rsid w:val="00994711"/>
    <w:rsid w:val="009A79A7"/>
    <w:rsid w:val="009B534B"/>
    <w:rsid w:val="009C3446"/>
    <w:rsid w:val="009F49DD"/>
    <w:rsid w:val="00A019AF"/>
    <w:rsid w:val="00A038BE"/>
    <w:rsid w:val="00A16C0F"/>
    <w:rsid w:val="00A340F4"/>
    <w:rsid w:val="00A409FA"/>
    <w:rsid w:val="00A616CC"/>
    <w:rsid w:val="00A67F41"/>
    <w:rsid w:val="00A70A87"/>
    <w:rsid w:val="00AB1929"/>
    <w:rsid w:val="00AB5455"/>
    <w:rsid w:val="00AB7D17"/>
    <w:rsid w:val="00AC69A4"/>
    <w:rsid w:val="00AE1A86"/>
    <w:rsid w:val="00AF40D8"/>
    <w:rsid w:val="00B00B71"/>
    <w:rsid w:val="00B124B6"/>
    <w:rsid w:val="00B24C8F"/>
    <w:rsid w:val="00B417FC"/>
    <w:rsid w:val="00B51421"/>
    <w:rsid w:val="00B660DA"/>
    <w:rsid w:val="00B67FA5"/>
    <w:rsid w:val="00B76407"/>
    <w:rsid w:val="00B90E40"/>
    <w:rsid w:val="00BA2838"/>
    <w:rsid w:val="00BE2F83"/>
    <w:rsid w:val="00BE6593"/>
    <w:rsid w:val="00BF4B30"/>
    <w:rsid w:val="00C076F7"/>
    <w:rsid w:val="00C44CE1"/>
    <w:rsid w:val="00C629BB"/>
    <w:rsid w:val="00C64DC9"/>
    <w:rsid w:val="00C91B51"/>
    <w:rsid w:val="00CA5DB5"/>
    <w:rsid w:val="00CB11E6"/>
    <w:rsid w:val="00CC3009"/>
    <w:rsid w:val="00CD316D"/>
    <w:rsid w:val="00CD32AD"/>
    <w:rsid w:val="00CD68FC"/>
    <w:rsid w:val="00CD69CB"/>
    <w:rsid w:val="00CE5762"/>
    <w:rsid w:val="00CF4499"/>
    <w:rsid w:val="00D16667"/>
    <w:rsid w:val="00D35F62"/>
    <w:rsid w:val="00D37C95"/>
    <w:rsid w:val="00D4334F"/>
    <w:rsid w:val="00D46DC0"/>
    <w:rsid w:val="00D5025B"/>
    <w:rsid w:val="00D53AEC"/>
    <w:rsid w:val="00D55AC4"/>
    <w:rsid w:val="00D63F9B"/>
    <w:rsid w:val="00D76AD7"/>
    <w:rsid w:val="00D82992"/>
    <w:rsid w:val="00D9657B"/>
    <w:rsid w:val="00D96828"/>
    <w:rsid w:val="00DA5E1A"/>
    <w:rsid w:val="00DC5973"/>
    <w:rsid w:val="00DF06FC"/>
    <w:rsid w:val="00DF0AF7"/>
    <w:rsid w:val="00E10C49"/>
    <w:rsid w:val="00E170E4"/>
    <w:rsid w:val="00E17671"/>
    <w:rsid w:val="00E3197B"/>
    <w:rsid w:val="00E42444"/>
    <w:rsid w:val="00E733AC"/>
    <w:rsid w:val="00E90402"/>
    <w:rsid w:val="00E930AB"/>
    <w:rsid w:val="00EA0402"/>
    <w:rsid w:val="00EB1FDF"/>
    <w:rsid w:val="00EC6AD3"/>
    <w:rsid w:val="00EF337E"/>
    <w:rsid w:val="00F0025A"/>
    <w:rsid w:val="00F12B18"/>
    <w:rsid w:val="00F15EE4"/>
    <w:rsid w:val="00F23D2D"/>
    <w:rsid w:val="00F31180"/>
    <w:rsid w:val="00F4141A"/>
    <w:rsid w:val="00F41F8B"/>
    <w:rsid w:val="00F62B7F"/>
    <w:rsid w:val="00F812AA"/>
    <w:rsid w:val="00F85948"/>
    <w:rsid w:val="00FA0968"/>
    <w:rsid w:val="00FA1087"/>
    <w:rsid w:val="00FA527C"/>
    <w:rsid w:val="00FB6341"/>
    <w:rsid w:val="00FD02A0"/>
    <w:rsid w:val="00FD5AC2"/>
    <w:rsid w:val="00FE1D95"/>
    <w:rsid w:val="00FE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B6204"/>
  <w14:defaultImageDpi w14:val="300"/>
  <w15:docId w15:val="{4D89B177-50A9-4F62-BFD2-7A062EE5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before="200" w:after="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495"/>
    <w:pPr>
      <w:spacing w:before="120" w:line="276" w:lineRule="auto"/>
    </w:pPr>
    <w:rPr>
      <w:rFonts w:ascii="Arial" w:hAnsi="Arial" w:cs="Arial"/>
      <w:sz w:val="22"/>
      <w:szCs w:val="20"/>
    </w:rPr>
  </w:style>
  <w:style w:type="paragraph" w:styleId="Heading1">
    <w:name w:val="heading 1"/>
    <w:basedOn w:val="Normal"/>
    <w:next w:val="Normal"/>
    <w:link w:val="Heading1Char"/>
    <w:autoRedefine/>
    <w:uiPriority w:val="9"/>
    <w:qFormat/>
    <w:rsid w:val="00D16667"/>
    <w:pPr>
      <w:keepNext/>
      <w:keepLines/>
      <w:suppressAutoHyphens/>
      <w:spacing w:after="440"/>
      <w:outlineLvl w:val="0"/>
    </w:pPr>
    <w:rPr>
      <w:b/>
      <w:color w:val="4C6DB6"/>
      <w:sz w:val="50"/>
      <w:szCs w:val="50"/>
    </w:rPr>
  </w:style>
  <w:style w:type="paragraph" w:styleId="Heading2">
    <w:name w:val="heading 2"/>
    <w:basedOn w:val="Normal"/>
    <w:next w:val="Normal"/>
    <w:link w:val="Heading2Char"/>
    <w:autoRedefine/>
    <w:uiPriority w:val="9"/>
    <w:unhideWhenUsed/>
    <w:qFormat/>
    <w:rsid w:val="007E3514"/>
    <w:pPr>
      <w:keepNext/>
      <w:keepLines/>
      <w:spacing w:before="240" w:line="240" w:lineRule="auto"/>
      <w:outlineLvl w:val="1"/>
    </w:pPr>
    <w:rPr>
      <w:rFonts w:eastAsiaTheme="majorEastAsia" w:cstheme="majorBidi"/>
      <w:b/>
      <w:bCs/>
      <w:color w:val="4C6DB6"/>
      <w:sz w:val="32"/>
      <w:szCs w:val="26"/>
    </w:rPr>
  </w:style>
  <w:style w:type="paragraph" w:styleId="Heading3">
    <w:name w:val="heading 3"/>
    <w:basedOn w:val="Normal"/>
    <w:next w:val="Normal"/>
    <w:link w:val="Heading3Char"/>
    <w:autoRedefine/>
    <w:uiPriority w:val="9"/>
    <w:unhideWhenUsed/>
    <w:qFormat/>
    <w:rsid w:val="007E3514"/>
    <w:pPr>
      <w:keepNext/>
      <w:keepLines/>
      <w:spacing w:line="240" w:lineRule="auto"/>
      <w:outlineLvl w:val="2"/>
    </w:pPr>
    <w:rPr>
      <w:rFonts w:eastAsiaTheme="majorEastAsia" w:cstheme="majorBidi"/>
      <w:b/>
      <w:bCs/>
      <w:color w:val="4C6DB6"/>
      <w:sz w:val="24"/>
      <w:szCs w:val="24"/>
    </w:rPr>
  </w:style>
  <w:style w:type="paragraph" w:styleId="Heading4">
    <w:name w:val="heading 4"/>
    <w:basedOn w:val="Heading3"/>
    <w:next w:val="Normal"/>
    <w:link w:val="Heading4Char"/>
    <w:uiPriority w:val="9"/>
    <w:unhideWhenUsed/>
    <w:rsid w:val="00AF40D8"/>
    <w:pPr>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41"/>
    <w:rPr>
      <w:rFonts w:ascii="Lucida Grande" w:hAnsi="Lucida Grande"/>
      <w:sz w:val="18"/>
      <w:szCs w:val="18"/>
    </w:rPr>
  </w:style>
  <w:style w:type="character" w:customStyle="1" w:styleId="BalloonTextChar">
    <w:name w:val="Balloon Text Char"/>
    <w:basedOn w:val="DefaultParagraphFont"/>
    <w:link w:val="BalloonText"/>
    <w:uiPriority w:val="99"/>
    <w:semiHidden/>
    <w:rsid w:val="00A67F41"/>
    <w:rPr>
      <w:rFonts w:ascii="Lucida Grande" w:hAnsi="Lucida Grande"/>
      <w:sz w:val="18"/>
      <w:szCs w:val="18"/>
    </w:rPr>
  </w:style>
  <w:style w:type="paragraph" w:styleId="Header">
    <w:name w:val="header"/>
    <w:basedOn w:val="Normal"/>
    <w:link w:val="HeaderChar"/>
    <w:uiPriority w:val="99"/>
    <w:unhideWhenUsed/>
    <w:rsid w:val="002142C6"/>
    <w:pPr>
      <w:tabs>
        <w:tab w:val="center" w:pos="4320"/>
        <w:tab w:val="right" w:pos="8640"/>
      </w:tabs>
    </w:pPr>
  </w:style>
  <w:style w:type="character" w:customStyle="1" w:styleId="HeaderChar">
    <w:name w:val="Header Char"/>
    <w:basedOn w:val="DefaultParagraphFont"/>
    <w:link w:val="Header"/>
    <w:uiPriority w:val="99"/>
    <w:rsid w:val="002142C6"/>
  </w:style>
  <w:style w:type="paragraph" w:styleId="Footer">
    <w:name w:val="footer"/>
    <w:basedOn w:val="Normal"/>
    <w:link w:val="FooterChar"/>
    <w:uiPriority w:val="99"/>
    <w:unhideWhenUsed/>
    <w:rsid w:val="002142C6"/>
    <w:pPr>
      <w:tabs>
        <w:tab w:val="center" w:pos="4320"/>
        <w:tab w:val="right" w:pos="8640"/>
      </w:tabs>
    </w:pPr>
  </w:style>
  <w:style w:type="character" w:customStyle="1" w:styleId="FooterChar">
    <w:name w:val="Footer Char"/>
    <w:basedOn w:val="DefaultParagraphFont"/>
    <w:link w:val="Footer"/>
    <w:uiPriority w:val="99"/>
    <w:rsid w:val="002142C6"/>
  </w:style>
  <w:style w:type="paragraph" w:customStyle="1" w:styleId="BasicParagraph">
    <w:name w:val="[Basic Paragraph]"/>
    <w:basedOn w:val="Normal"/>
    <w:uiPriority w:val="99"/>
    <w:rsid w:val="00014C26"/>
    <w:pPr>
      <w:widowControl w:val="0"/>
      <w:autoSpaceDE w:val="0"/>
      <w:autoSpaceDN w:val="0"/>
      <w:adjustRightInd w:val="0"/>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583743"/>
  </w:style>
  <w:style w:type="table" w:styleId="LightShading-Accent1">
    <w:name w:val="Light Shading Accent 1"/>
    <w:basedOn w:val="TableNormal"/>
    <w:uiPriority w:val="60"/>
    <w:rsid w:val="00583743"/>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25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Breakouthead">
    <w:name w:val="VC_Breakout head"/>
    <w:basedOn w:val="Normal"/>
    <w:rsid w:val="00DC5973"/>
    <w:pPr>
      <w:suppressAutoHyphens/>
      <w:spacing w:after="60"/>
    </w:pPr>
    <w:rPr>
      <w:b/>
      <w:color w:val="000000" w:themeColor="text1"/>
    </w:rPr>
  </w:style>
  <w:style w:type="paragraph" w:customStyle="1" w:styleId="VCBreakoutcopy">
    <w:name w:val="VC_Breakout copy"/>
    <w:basedOn w:val="Normal"/>
    <w:rsid w:val="00DC5973"/>
    <w:pPr>
      <w:suppressAutoHyphens/>
    </w:pPr>
    <w:rPr>
      <w:color w:val="000000" w:themeColor="text1"/>
    </w:rPr>
  </w:style>
  <w:style w:type="character" w:customStyle="1" w:styleId="Heading1Char">
    <w:name w:val="Heading 1 Char"/>
    <w:basedOn w:val="DefaultParagraphFont"/>
    <w:link w:val="Heading1"/>
    <w:uiPriority w:val="9"/>
    <w:rsid w:val="00D16667"/>
    <w:rPr>
      <w:rFonts w:ascii="Arial" w:hAnsi="Arial" w:cs="Arial"/>
      <w:b/>
      <w:color w:val="4C6DB6"/>
      <w:sz w:val="50"/>
      <w:szCs w:val="50"/>
    </w:rPr>
  </w:style>
  <w:style w:type="paragraph" w:styleId="TOCHeading">
    <w:name w:val="TOC Heading"/>
    <w:basedOn w:val="Heading1"/>
    <w:next w:val="Normal"/>
    <w:uiPriority w:val="39"/>
    <w:unhideWhenUsed/>
    <w:qFormat/>
    <w:rsid w:val="002D294A"/>
    <w:pPr>
      <w:outlineLvl w:val="9"/>
    </w:pPr>
    <w:rPr>
      <w:lang w:eastAsia="ja-JP"/>
    </w:rPr>
  </w:style>
  <w:style w:type="character" w:customStyle="1" w:styleId="Heading2Char">
    <w:name w:val="Heading 2 Char"/>
    <w:basedOn w:val="DefaultParagraphFont"/>
    <w:link w:val="Heading2"/>
    <w:uiPriority w:val="9"/>
    <w:rsid w:val="007E3514"/>
    <w:rPr>
      <w:rFonts w:ascii="Arial" w:eastAsiaTheme="majorEastAsia" w:hAnsi="Arial" w:cstheme="majorBidi"/>
      <w:b/>
      <w:bCs/>
      <w:color w:val="4C6DB6"/>
      <w:sz w:val="32"/>
      <w:szCs w:val="26"/>
    </w:rPr>
  </w:style>
  <w:style w:type="character" w:customStyle="1" w:styleId="Heading3Char">
    <w:name w:val="Heading 3 Char"/>
    <w:basedOn w:val="DefaultParagraphFont"/>
    <w:link w:val="Heading3"/>
    <w:uiPriority w:val="9"/>
    <w:rsid w:val="007E3514"/>
    <w:rPr>
      <w:rFonts w:ascii="Arial" w:eastAsiaTheme="majorEastAsia" w:hAnsi="Arial" w:cstheme="majorBidi"/>
      <w:b/>
      <w:bCs/>
      <w:color w:val="4C6DB6"/>
    </w:rPr>
  </w:style>
  <w:style w:type="paragraph" w:styleId="TOC1">
    <w:name w:val="toc 1"/>
    <w:basedOn w:val="Normal"/>
    <w:next w:val="Normal"/>
    <w:autoRedefine/>
    <w:uiPriority w:val="39"/>
    <w:unhideWhenUsed/>
    <w:rsid w:val="002D294A"/>
    <w:pPr>
      <w:spacing w:after="100"/>
    </w:pPr>
  </w:style>
  <w:style w:type="paragraph" w:styleId="TOC2">
    <w:name w:val="toc 2"/>
    <w:basedOn w:val="Normal"/>
    <w:next w:val="Normal"/>
    <w:autoRedefine/>
    <w:uiPriority w:val="39"/>
    <w:unhideWhenUsed/>
    <w:rsid w:val="002D294A"/>
    <w:pPr>
      <w:spacing w:after="100"/>
      <w:ind w:left="240"/>
    </w:pPr>
  </w:style>
  <w:style w:type="paragraph" w:styleId="TOC3">
    <w:name w:val="toc 3"/>
    <w:basedOn w:val="Normal"/>
    <w:next w:val="Normal"/>
    <w:autoRedefine/>
    <w:uiPriority w:val="39"/>
    <w:unhideWhenUsed/>
    <w:rsid w:val="002D294A"/>
    <w:pPr>
      <w:spacing w:after="100"/>
      <w:ind w:left="480"/>
    </w:pPr>
  </w:style>
  <w:style w:type="character" w:styleId="Hyperlink">
    <w:name w:val="Hyperlink"/>
    <w:basedOn w:val="DefaultParagraphFont"/>
    <w:uiPriority w:val="99"/>
    <w:unhideWhenUsed/>
    <w:qFormat/>
    <w:rsid w:val="0003069D"/>
    <w:rPr>
      <w:rFonts w:ascii="Arial" w:hAnsi="Arial"/>
      <w:b/>
      <w:color w:val="F26722"/>
      <w:sz w:val="22"/>
      <w:u w:val="single"/>
    </w:rPr>
  </w:style>
  <w:style w:type="paragraph" w:customStyle="1" w:styleId="Titlecover">
    <w:name w:val="Title (cover)"/>
    <w:basedOn w:val="Normal"/>
    <w:autoRedefine/>
    <w:qFormat/>
    <w:rsid w:val="00027DDF"/>
    <w:pPr>
      <w:spacing w:before="0" w:after="0" w:line="240" w:lineRule="auto"/>
    </w:pPr>
    <w:rPr>
      <w:b/>
      <w:noProof/>
      <w:color w:val="002060"/>
      <w:sz w:val="72"/>
      <w:szCs w:val="80"/>
      <w:lang w:val="en-AU" w:eastAsia="en-AU"/>
    </w:rPr>
  </w:style>
  <w:style w:type="paragraph" w:customStyle="1" w:styleId="Subtitlecover">
    <w:name w:val="Subtitle (cover)"/>
    <w:basedOn w:val="Titlecover"/>
    <w:qFormat/>
    <w:rsid w:val="00AB1929"/>
    <w:rPr>
      <w:sz w:val="40"/>
      <w:szCs w:val="50"/>
    </w:rPr>
  </w:style>
  <w:style w:type="paragraph" w:customStyle="1" w:styleId="Datecover">
    <w:name w:val="Date (cover)"/>
    <w:basedOn w:val="Normal"/>
    <w:qFormat/>
    <w:rsid w:val="003F6439"/>
    <w:pPr>
      <w:jc w:val="center"/>
    </w:pPr>
    <w:rPr>
      <w:b/>
      <w:color w:val="0C2E64"/>
      <w:sz w:val="28"/>
    </w:rPr>
  </w:style>
  <w:style w:type="paragraph" w:customStyle="1" w:styleId="Abouttext">
    <w:name w:val="About text"/>
    <w:basedOn w:val="Normal"/>
    <w:rsid w:val="009B534B"/>
    <w:pPr>
      <w:spacing w:after="454"/>
      <w:ind w:left="5893" w:right="1268"/>
    </w:pPr>
    <w:rPr>
      <w:noProof/>
      <w:sz w:val="20"/>
      <w:lang w:val="en-AU" w:eastAsia="en-AU"/>
    </w:rPr>
  </w:style>
  <w:style w:type="paragraph" w:customStyle="1" w:styleId="PullQuote">
    <w:name w:val="Pull Quote"/>
    <w:basedOn w:val="BasicParagraph"/>
    <w:qFormat/>
    <w:rsid w:val="003F6439"/>
    <w:pPr>
      <w:suppressAutoHyphens/>
      <w:spacing w:before="240" w:after="240"/>
      <w:ind w:left="1418" w:right="1701"/>
    </w:pPr>
    <w:rPr>
      <w:rFonts w:ascii="Arial" w:hAnsi="Arial" w:cs="Arial"/>
      <w:bCs/>
      <w:color w:val="F26722"/>
      <w:sz w:val="28"/>
      <w:szCs w:val="28"/>
    </w:rPr>
  </w:style>
  <w:style w:type="paragraph" w:customStyle="1" w:styleId="Aboutdetails">
    <w:name w:val="About details"/>
    <w:basedOn w:val="Abouttext"/>
    <w:rsid w:val="009B534B"/>
    <w:pPr>
      <w:spacing w:after="170"/>
      <w:ind w:left="5891" w:right="1270"/>
    </w:pPr>
  </w:style>
  <w:style w:type="character" w:customStyle="1" w:styleId="Heading4Char">
    <w:name w:val="Heading 4 Char"/>
    <w:basedOn w:val="DefaultParagraphFont"/>
    <w:link w:val="Heading4"/>
    <w:uiPriority w:val="9"/>
    <w:rsid w:val="00AF40D8"/>
    <w:rPr>
      <w:rFonts w:ascii="Arial" w:eastAsiaTheme="majorEastAsia" w:hAnsi="Arial" w:cstheme="majorBidi"/>
      <w:b/>
      <w:bCs/>
      <w:color w:val="E36C0A" w:themeColor="accent6" w:themeShade="BF"/>
      <w:sz w:val="22"/>
    </w:rPr>
  </w:style>
  <w:style w:type="paragraph" w:styleId="ListParagraph">
    <w:name w:val="List Paragraph"/>
    <w:basedOn w:val="Normal"/>
    <w:uiPriority w:val="34"/>
    <w:rsid w:val="002836D5"/>
    <w:pPr>
      <w:numPr>
        <w:numId w:val="3"/>
      </w:numPr>
      <w:contextualSpacing/>
    </w:pPr>
  </w:style>
  <w:style w:type="paragraph" w:styleId="Caption">
    <w:name w:val="caption"/>
    <w:basedOn w:val="Normal"/>
    <w:next w:val="Normal"/>
    <w:uiPriority w:val="35"/>
    <w:unhideWhenUsed/>
    <w:qFormat/>
    <w:rsid w:val="002836D5"/>
    <w:pPr>
      <w:keepNext/>
      <w:spacing w:before="0" w:after="200" w:line="240" w:lineRule="auto"/>
    </w:pPr>
    <w:rPr>
      <w:b/>
      <w:bCs/>
      <w:sz w:val="18"/>
      <w:szCs w:val="18"/>
    </w:rPr>
  </w:style>
  <w:style w:type="paragraph" w:customStyle="1" w:styleId="Boxlist">
    <w:name w:val="Box list"/>
    <w:basedOn w:val="Boxtext"/>
    <w:qFormat/>
    <w:rsid w:val="003F6439"/>
    <w:pPr>
      <w:keepNext/>
      <w:numPr>
        <w:numId w:val="6"/>
      </w:numPr>
      <w:spacing w:before="100" w:beforeAutospacing="1" w:line="192" w:lineRule="auto"/>
      <w:ind w:left="1418" w:firstLine="567"/>
      <w:contextualSpacing/>
    </w:pPr>
  </w:style>
  <w:style w:type="paragraph" w:customStyle="1" w:styleId="Boxbottom">
    <w:name w:val="Box bottom"/>
    <w:basedOn w:val="Boxlist"/>
    <w:rsid w:val="00E90402"/>
    <w:pPr>
      <w:numPr>
        <w:numId w:val="0"/>
      </w:numPr>
      <w:ind w:left="418"/>
    </w:pPr>
    <w:rPr>
      <w:sz w:val="2"/>
    </w:rPr>
  </w:style>
  <w:style w:type="paragraph" w:customStyle="1" w:styleId="Boxtext">
    <w:name w:val="Box text"/>
    <w:basedOn w:val="Normal"/>
    <w:link w:val="BoxtextChar"/>
    <w:qFormat/>
    <w:rsid w:val="003F6439"/>
    <w:pPr>
      <w:keepLines/>
      <w:pBdr>
        <w:top w:val="single" w:sz="48" w:space="1" w:color="E6EAEF"/>
        <w:left w:val="single" w:sz="48" w:space="4" w:color="E6EAEF"/>
        <w:bottom w:val="single" w:sz="48" w:space="1" w:color="E6EAEF"/>
        <w:right w:val="single" w:sz="48" w:space="4" w:color="E6EAEF"/>
        <w:between w:val="single" w:sz="48" w:space="1" w:color="E6EAEF"/>
      </w:pBdr>
      <w:shd w:val="clear" w:color="auto" w:fill="E6EAEF"/>
      <w:spacing w:before="240" w:after="240"/>
      <w:ind w:left="1418" w:right="1701"/>
    </w:pPr>
    <w:rPr>
      <w:rFonts w:eastAsiaTheme="minorHAnsi"/>
      <w:szCs w:val="22"/>
      <w:lang w:val="en-AU" w:eastAsia="en-AU"/>
    </w:rPr>
  </w:style>
  <w:style w:type="paragraph" w:customStyle="1" w:styleId="Boxprelisttext">
    <w:name w:val="Box prelist text"/>
    <w:basedOn w:val="Boxtext"/>
    <w:next w:val="Boxlist"/>
    <w:rsid w:val="001D4431"/>
    <w:pPr>
      <w:pBdr>
        <w:top w:val="single" w:sz="24" w:space="1" w:color="00053A"/>
        <w:left w:val="single" w:sz="24" w:space="4" w:color="00053A"/>
        <w:bottom w:val="single" w:sz="24" w:space="1" w:color="00053A"/>
        <w:right w:val="single" w:sz="24" w:space="4" w:color="00053A"/>
      </w:pBdr>
      <w:shd w:val="clear" w:color="auto" w:fill="00053A"/>
    </w:pPr>
  </w:style>
  <w:style w:type="paragraph" w:customStyle="1" w:styleId="Boxtop">
    <w:name w:val="Box top"/>
    <w:basedOn w:val="Boxprelisttext"/>
    <w:rsid w:val="00580A0A"/>
    <w:rPr>
      <w:sz w:val="2"/>
    </w:rPr>
  </w:style>
  <w:style w:type="paragraph" w:styleId="FootnoteText">
    <w:name w:val="footnote text"/>
    <w:basedOn w:val="Normal"/>
    <w:link w:val="FootnoteTextChar"/>
    <w:uiPriority w:val="99"/>
    <w:unhideWhenUsed/>
    <w:rsid w:val="00FD02A0"/>
    <w:pPr>
      <w:spacing w:before="0" w:after="0" w:line="240" w:lineRule="auto"/>
    </w:pPr>
    <w:rPr>
      <w:rFonts w:eastAsiaTheme="minorHAnsi" w:cstheme="minorBidi"/>
      <w:sz w:val="16"/>
      <w:lang w:val="en-AU"/>
    </w:rPr>
  </w:style>
  <w:style w:type="character" w:customStyle="1" w:styleId="FootnoteTextChar">
    <w:name w:val="Footnote Text Char"/>
    <w:basedOn w:val="DefaultParagraphFont"/>
    <w:link w:val="FootnoteText"/>
    <w:uiPriority w:val="99"/>
    <w:rsid w:val="00FD02A0"/>
    <w:rPr>
      <w:rFonts w:ascii="Arial" w:eastAsiaTheme="minorHAnsi" w:hAnsi="Arial"/>
      <w:sz w:val="16"/>
      <w:szCs w:val="20"/>
      <w:lang w:val="en-AU"/>
    </w:rPr>
  </w:style>
  <w:style w:type="table" w:styleId="MediumGrid2-Accent1">
    <w:name w:val="Medium Grid 2 Accent 1"/>
    <w:basedOn w:val="TableNormal"/>
    <w:uiPriority w:val="68"/>
    <w:rsid w:val="006720A0"/>
    <w:pPr>
      <w:spacing w:before="0" w:after="0" w:line="240" w:lineRule="auto"/>
    </w:pPr>
    <w:rPr>
      <w:rFonts w:asciiTheme="majorHAnsi" w:eastAsiaTheme="majorEastAsia" w:hAnsiTheme="majorHAnsi" w:cstheme="majorBidi"/>
      <w:color w:val="000000" w:themeColor="text1"/>
      <w:sz w:val="22"/>
      <w:szCs w:val="22"/>
      <w:lang w:val="en-AU"/>
    </w:rPr>
    <w:tblPr>
      <w:tblStyleRowBandSize w:val="1"/>
      <w:tblStyleColBandSize w:val="1"/>
      <w:tblBorders>
        <w:top w:val="single" w:sz="4" w:space="0" w:color="BFBD59"/>
        <w:left w:val="single" w:sz="4" w:space="0" w:color="BFBD59"/>
        <w:bottom w:val="single" w:sz="4" w:space="0" w:color="BFBD59"/>
        <w:right w:val="single" w:sz="4" w:space="0" w:color="BFBD59"/>
        <w:insideH w:val="single" w:sz="4" w:space="0" w:color="BFBD59"/>
        <w:insideV w:val="single" w:sz="4" w:space="0" w:color="BFBD59"/>
      </w:tblBorders>
    </w:tblPr>
    <w:tcPr>
      <w:shd w:val="clear" w:color="auto" w:fill="D3DFEE" w:themeFill="accent1" w:themeFillTint="3F"/>
    </w:tcPr>
    <w:tblStylePr w:type="firstRow">
      <w:rPr>
        <w:b/>
        <w:bCs/>
        <w:color w:val="000000" w:themeColor="text1"/>
      </w:rPr>
      <w:tblPr/>
      <w:tcPr>
        <w:shd w:val="clear" w:color="auto" w:fill="F4F4E4"/>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shd w:val="clear" w:color="auto" w:fill="E9E9C7"/>
      </w:tcPr>
    </w:tblStylePr>
    <w:tblStylePr w:type="band2Horz">
      <w:tblPr/>
      <w:tcPr>
        <w:shd w:val="clear" w:color="auto" w:fill="D9D89C"/>
      </w:tcPr>
    </w:tblStylePr>
    <w:tblStylePr w:type="nwCell">
      <w:tblPr/>
      <w:tcPr>
        <w:shd w:val="clear" w:color="auto" w:fill="FFFFFF" w:themeFill="background1"/>
      </w:tcPr>
    </w:tblStylePr>
  </w:style>
  <w:style w:type="paragraph" w:customStyle="1" w:styleId="Overviewbox">
    <w:name w:val="Overview box"/>
    <w:basedOn w:val="ListParagraph"/>
    <w:autoRedefine/>
    <w:rsid w:val="00E90402"/>
    <w:pPr>
      <w:numPr>
        <w:numId w:val="5"/>
      </w:numPr>
      <w:pBdr>
        <w:top w:val="single" w:sz="48" w:space="1" w:color="4C6DB6"/>
        <w:left w:val="single" w:sz="48" w:space="4" w:color="4C6DB6"/>
        <w:bottom w:val="single" w:sz="48" w:space="1" w:color="4C6DB6"/>
        <w:right w:val="single" w:sz="48" w:space="4" w:color="4C6DB6"/>
      </w:pBdr>
      <w:shd w:val="clear" w:color="auto" w:fill="4C6DB6"/>
      <w:spacing w:before="0" w:after="200"/>
      <w:ind w:right="305"/>
    </w:pPr>
    <w:rPr>
      <w:rFonts w:eastAsiaTheme="minorHAnsi" w:cstheme="minorBidi"/>
      <w:b/>
      <w:sz w:val="20"/>
      <w:lang w:val="en-AU" w:eastAsia="en-AU"/>
    </w:rPr>
  </w:style>
  <w:style w:type="paragraph" w:customStyle="1" w:styleId="Boxheading">
    <w:name w:val="Box heading"/>
    <w:basedOn w:val="Boxtext"/>
    <w:link w:val="BoxheadingChar"/>
    <w:qFormat/>
    <w:rsid w:val="003F6439"/>
    <w:pPr>
      <w:spacing w:before="360"/>
    </w:pPr>
    <w:rPr>
      <w:b/>
      <w:caps/>
      <w:sz w:val="24"/>
    </w:rPr>
  </w:style>
  <w:style w:type="paragraph" w:styleId="Quote">
    <w:name w:val="Quote"/>
    <w:basedOn w:val="Normal"/>
    <w:next w:val="Normal"/>
    <w:link w:val="QuoteChar"/>
    <w:uiPriority w:val="29"/>
    <w:rsid w:val="00321ED2"/>
    <w:pPr>
      <w:spacing w:before="200" w:after="160"/>
      <w:ind w:left="2160" w:right="862"/>
      <w:jc w:val="both"/>
    </w:pPr>
    <w:rPr>
      <w:b/>
      <w:i/>
      <w:iCs/>
      <w:color w:val="F26722"/>
      <w:sz w:val="28"/>
    </w:rPr>
  </w:style>
  <w:style w:type="character" w:customStyle="1" w:styleId="QuoteChar">
    <w:name w:val="Quote Char"/>
    <w:basedOn w:val="DefaultParagraphFont"/>
    <w:link w:val="Quote"/>
    <w:uiPriority w:val="29"/>
    <w:rsid w:val="00321ED2"/>
    <w:rPr>
      <w:rFonts w:ascii="Arial" w:hAnsi="Arial" w:cs="Arial"/>
      <w:b/>
      <w:i/>
      <w:iCs/>
      <w:color w:val="F26722"/>
      <w:sz w:val="28"/>
      <w:szCs w:val="20"/>
    </w:rPr>
  </w:style>
  <w:style w:type="character" w:customStyle="1" w:styleId="BoxtextChar">
    <w:name w:val="Box text Char"/>
    <w:basedOn w:val="DefaultParagraphFont"/>
    <w:link w:val="Boxtext"/>
    <w:rsid w:val="003F6439"/>
    <w:rPr>
      <w:rFonts w:ascii="Arial" w:eastAsiaTheme="minorHAnsi" w:hAnsi="Arial" w:cs="Arial"/>
      <w:sz w:val="22"/>
      <w:szCs w:val="22"/>
      <w:shd w:val="clear" w:color="auto" w:fill="E6EAEF"/>
      <w:lang w:val="en-AU" w:eastAsia="en-AU"/>
    </w:rPr>
  </w:style>
  <w:style w:type="character" w:customStyle="1" w:styleId="BoxheadingChar">
    <w:name w:val="Box heading Char"/>
    <w:basedOn w:val="BoxtextChar"/>
    <w:link w:val="Boxheading"/>
    <w:rsid w:val="003F6439"/>
    <w:rPr>
      <w:rFonts w:ascii="Arial" w:eastAsiaTheme="minorHAnsi" w:hAnsi="Arial" w:cs="Arial"/>
      <w:b/>
      <w:caps/>
      <w:sz w:val="22"/>
      <w:szCs w:val="22"/>
      <w:shd w:val="clear" w:color="auto" w:fill="E6EAEF"/>
      <w:lang w:val="en-AU" w:eastAsia="en-AU"/>
    </w:rPr>
  </w:style>
  <w:style w:type="paragraph" w:styleId="BodyText">
    <w:name w:val="Body Text"/>
    <w:basedOn w:val="Normal"/>
    <w:link w:val="BodyTextChar"/>
    <w:uiPriority w:val="99"/>
    <w:semiHidden/>
    <w:unhideWhenUsed/>
    <w:rsid w:val="003A2A3E"/>
    <w:pPr>
      <w:keepLines/>
      <w:suppressAutoHyphens/>
      <w:spacing w:line="260" w:lineRule="atLeast"/>
      <w:jc w:val="both"/>
    </w:pPr>
    <w:rPr>
      <w:rFonts w:ascii="Microsoft Sans Serif" w:eastAsia="Times New Roman" w:hAnsi="Microsoft Sans Serif" w:cs="Times New Roman"/>
      <w:sz w:val="20"/>
      <w:lang w:val="en-AU"/>
    </w:rPr>
  </w:style>
  <w:style w:type="character" w:customStyle="1" w:styleId="BodyTextChar">
    <w:name w:val="Body Text Char"/>
    <w:basedOn w:val="DefaultParagraphFont"/>
    <w:link w:val="BodyText"/>
    <w:uiPriority w:val="99"/>
    <w:semiHidden/>
    <w:rsid w:val="003A2A3E"/>
    <w:rPr>
      <w:rFonts w:ascii="Microsoft Sans Serif" w:eastAsia="Times New Roman" w:hAnsi="Microsoft Sans Serif" w:cs="Times New Roman"/>
      <w:sz w:val="20"/>
      <w:szCs w:val="20"/>
      <w:lang w:val="en-AU"/>
    </w:rPr>
  </w:style>
  <w:style w:type="character" w:styleId="FootnoteReference">
    <w:name w:val="footnote reference"/>
    <w:aliases w:val="(NECG) Footnote Reference"/>
    <w:uiPriority w:val="99"/>
    <w:semiHidden/>
    <w:unhideWhenUsed/>
    <w:rsid w:val="003A2A3E"/>
    <w:rPr>
      <w:position w:val="6"/>
      <w:sz w:val="16"/>
    </w:rPr>
  </w:style>
  <w:style w:type="paragraph" w:styleId="EndnoteText">
    <w:name w:val="endnote text"/>
    <w:basedOn w:val="Normal"/>
    <w:link w:val="EndnoteTextChar"/>
    <w:uiPriority w:val="99"/>
    <w:semiHidden/>
    <w:unhideWhenUsed/>
    <w:rsid w:val="00861035"/>
    <w:pPr>
      <w:spacing w:before="0" w:after="0" w:line="240" w:lineRule="auto"/>
    </w:pPr>
    <w:rPr>
      <w:sz w:val="20"/>
    </w:rPr>
  </w:style>
  <w:style w:type="character" w:customStyle="1" w:styleId="EndnoteTextChar">
    <w:name w:val="Endnote Text Char"/>
    <w:basedOn w:val="DefaultParagraphFont"/>
    <w:link w:val="EndnoteText"/>
    <w:uiPriority w:val="99"/>
    <w:semiHidden/>
    <w:rsid w:val="00861035"/>
    <w:rPr>
      <w:rFonts w:ascii="Arial" w:hAnsi="Arial" w:cs="Arial"/>
      <w:sz w:val="20"/>
      <w:szCs w:val="20"/>
    </w:rPr>
  </w:style>
  <w:style w:type="character" w:styleId="EndnoteReference">
    <w:name w:val="endnote reference"/>
    <w:basedOn w:val="DefaultParagraphFont"/>
    <w:uiPriority w:val="99"/>
    <w:semiHidden/>
    <w:unhideWhenUsed/>
    <w:rsid w:val="00861035"/>
    <w:rPr>
      <w:vertAlign w:val="superscript"/>
    </w:rPr>
  </w:style>
  <w:style w:type="character" w:styleId="CommentReference">
    <w:name w:val="annotation reference"/>
    <w:basedOn w:val="DefaultParagraphFont"/>
    <w:uiPriority w:val="99"/>
    <w:semiHidden/>
    <w:unhideWhenUsed/>
    <w:rsid w:val="00AE1A86"/>
    <w:rPr>
      <w:sz w:val="16"/>
      <w:szCs w:val="16"/>
    </w:rPr>
  </w:style>
  <w:style w:type="paragraph" w:styleId="CommentText">
    <w:name w:val="annotation text"/>
    <w:basedOn w:val="Normal"/>
    <w:link w:val="CommentTextChar"/>
    <w:uiPriority w:val="99"/>
    <w:semiHidden/>
    <w:unhideWhenUsed/>
    <w:rsid w:val="00AE1A86"/>
    <w:pPr>
      <w:spacing w:line="240" w:lineRule="auto"/>
    </w:pPr>
    <w:rPr>
      <w:sz w:val="20"/>
    </w:rPr>
  </w:style>
  <w:style w:type="character" w:customStyle="1" w:styleId="CommentTextChar">
    <w:name w:val="Comment Text Char"/>
    <w:basedOn w:val="DefaultParagraphFont"/>
    <w:link w:val="CommentText"/>
    <w:uiPriority w:val="99"/>
    <w:semiHidden/>
    <w:rsid w:val="00AE1A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E1A86"/>
    <w:rPr>
      <w:b/>
      <w:bCs/>
    </w:rPr>
  </w:style>
  <w:style w:type="character" w:customStyle="1" w:styleId="CommentSubjectChar">
    <w:name w:val="Comment Subject Char"/>
    <w:basedOn w:val="CommentTextChar"/>
    <w:link w:val="CommentSubject"/>
    <w:uiPriority w:val="99"/>
    <w:semiHidden/>
    <w:rsid w:val="00AE1A8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6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mailto:llewellyn.reynders@vcoss.org.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vcoss-dc1\Shared\Communications\Templates,%20fonts%20and%20resources\New%20policy%20templates\wwww.vcoss.org.au" TargetMode="External"/><Relationship Id="rId2" Type="http://schemas.openxmlformats.org/officeDocument/2006/relationships/numbering" Target="numbering.xml"/><Relationship Id="rId16" Type="http://schemas.openxmlformats.org/officeDocument/2006/relationships/hyperlink" Target="mailto:llewellyn.reynders@vcoss.org.au"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file:///\\vcoss-dc1\Shared\Communications\Templates,%20fonts%20and%20resources\New%20policy%20templates\wwww.vcoss.org.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21773-6A07-4E1C-AEBB-D2E844BB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Sheales</dc:creator>
  <cp:lastModifiedBy>Llewellyn Reynders</cp:lastModifiedBy>
  <cp:revision>2</cp:revision>
  <cp:lastPrinted>2019-01-08T23:21:00Z</cp:lastPrinted>
  <dcterms:created xsi:type="dcterms:W3CDTF">2019-01-09T00:58:00Z</dcterms:created>
  <dcterms:modified xsi:type="dcterms:W3CDTF">2019-01-09T00:58:00Z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1457739086</vt:i4>
  </property>
</Properties>
</file>