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8032" w14:textId="181154B5" w:rsidR="006C7EEF" w:rsidRPr="00364C01" w:rsidRDefault="006C7EEF" w:rsidP="006C7EEF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  <w:sz w:val="19"/>
          <w:szCs w:val="19"/>
        </w:rPr>
      </w:pPr>
      <w:r w:rsidRPr="007E488D">
        <w:rPr>
          <w:noProof/>
        </w:rPr>
        <w:drawing>
          <wp:inline distT="0" distB="0" distL="0" distR="0" wp14:anchorId="283F7AF6" wp14:editId="265D090F">
            <wp:extent cx="2628900" cy="6858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ab/>
      </w:r>
      <w:r w:rsidRPr="00047A9D">
        <w:rPr>
          <w:rStyle w:val="IntenseEmphasis"/>
          <w:rFonts w:eastAsiaTheme="majorEastAsia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 </w:t>
      </w:r>
      <w:r>
        <w:rPr>
          <w:rFonts w:ascii="Arial" w:hAnsi="Arial" w:cs="Arial"/>
          <w:b/>
          <w:bCs/>
          <w:noProof/>
          <w:color w:val="C0504D"/>
          <w:sz w:val="19"/>
          <w:szCs w:val="19"/>
        </w:rPr>
        <w:drawing>
          <wp:inline distT="0" distB="0" distL="0" distR="0" wp14:anchorId="5A31482F" wp14:editId="2FAB14B5">
            <wp:extent cx="812800" cy="1079500"/>
            <wp:effectExtent l="0" t="0" r="0" b="0"/>
            <wp:docPr id="2" name="vcossLogo" descr="VCOSS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ossLogo" descr="VCOS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FE3FD" w14:textId="77777777" w:rsidR="006C7EEF" w:rsidRPr="00155667" w:rsidRDefault="006C7EEF" w:rsidP="006C7EEF">
      <w:pPr>
        <w:pStyle w:val="Heading1"/>
        <w:rPr>
          <w:b/>
          <w:bCs/>
        </w:rPr>
      </w:pPr>
      <w:r w:rsidRPr="00155667">
        <w:rPr>
          <w:b/>
          <w:bCs/>
        </w:rPr>
        <w:t>About this Communique</w:t>
      </w:r>
    </w:p>
    <w:p w14:paraId="44AA5B58" w14:textId="77777777" w:rsidR="006C7EEF" w:rsidRPr="00CB71AE" w:rsidRDefault="006C7EEF" w:rsidP="006C7EE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The Department of Education and Training (DET) – Community Sector Organisation (CSO) Governance Group is a quarterly forum </w:t>
      </w:r>
      <w:r w:rsidRPr="00CB71AE">
        <w:rPr>
          <w:rFonts w:asciiTheme="minorHAnsi" w:hAnsiTheme="minorHAnsi" w:cstheme="minorHAnsi"/>
          <w:sz w:val="21"/>
          <w:szCs w:val="21"/>
        </w:rPr>
        <w:t>for communication, consultation, engagement and collaboration between the Department and</w:t>
      </w:r>
      <w:r>
        <w:rPr>
          <w:rFonts w:asciiTheme="minorHAnsi" w:hAnsiTheme="minorHAnsi" w:cstheme="minorHAnsi"/>
          <w:sz w:val="21"/>
          <w:szCs w:val="21"/>
        </w:rPr>
        <w:t xml:space="preserve"> the</w:t>
      </w:r>
      <w:r w:rsidRPr="00CB71AE">
        <w:rPr>
          <w:rFonts w:asciiTheme="minorHAnsi" w:hAnsiTheme="minorHAnsi" w:cstheme="minorHAnsi"/>
          <w:sz w:val="21"/>
          <w:szCs w:val="21"/>
        </w:rPr>
        <w:t xml:space="preserve"> community sector. Meetings are co-chaired by DET and the Victorian Council of Social Service (VCOSS)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CB71AE">
        <w:rPr>
          <w:rFonts w:asciiTheme="minorHAnsi" w:hAnsiTheme="minorHAnsi" w:cstheme="minorHAnsi"/>
          <w:sz w:val="21"/>
          <w:szCs w:val="21"/>
        </w:rPr>
        <w:t xml:space="preserve">and reflect topics of mutual interest to DET and </w:t>
      </w:r>
      <w:r>
        <w:rPr>
          <w:rFonts w:asciiTheme="minorHAnsi" w:hAnsiTheme="minorHAnsi" w:cstheme="minorHAnsi"/>
          <w:sz w:val="21"/>
          <w:szCs w:val="21"/>
        </w:rPr>
        <w:t xml:space="preserve">the </w:t>
      </w:r>
      <w:r w:rsidRPr="00CB71AE">
        <w:rPr>
          <w:rFonts w:asciiTheme="minorHAnsi" w:hAnsiTheme="minorHAnsi" w:cstheme="minorHAnsi"/>
          <w:sz w:val="21"/>
          <w:szCs w:val="21"/>
        </w:rPr>
        <w:t xml:space="preserve">sector. You can read more about the partnership agreement that underpins this work on </w:t>
      </w:r>
      <w:hyperlink r:id="rId8" w:history="1">
        <w:r w:rsidRPr="00F55954">
          <w:rPr>
            <w:rStyle w:val="Hyperlink"/>
            <w:rFonts w:asciiTheme="minorHAnsi" w:hAnsiTheme="minorHAnsi" w:cstheme="minorHAnsi"/>
            <w:sz w:val="21"/>
            <w:szCs w:val="21"/>
          </w:rPr>
          <w:t>VCOSS</w:t>
        </w:r>
      </w:hyperlink>
      <w:r w:rsidRPr="00CB71AE">
        <w:rPr>
          <w:rFonts w:asciiTheme="minorHAnsi" w:hAnsiTheme="minorHAnsi" w:cstheme="minorHAnsi"/>
          <w:sz w:val="21"/>
          <w:szCs w:val="21"/>
        </w:rPr>
        <w:t xml:space="preserve"> and </w:t>
      </w:r>
      <w:hyperlink r:id="rId9" w:history="1">
        <w:r>
          <w:rPr>
            <w:rStyle w:val="Hyperlink"/>
            <w:rFonts w:asciiTheme="minorHAnsi" w:hAnsiTheme="minorHAnsi" w:cstheme="minorHAnsi"/>
            <w:sz w:val="21"/>
            <w:szCs w:val="21"/>
          </w:rPr>
          <w:t>DET</w:t>
        </w:r>
      </w:hyperlink>
      <w:r w:rsidRPr="00CB71AE">
        <w:rPr>
          <w:rFonts w:asciiTheme="minorHAnsi" w:hAnsiTheme="minorHAnsi" w:cstheme="minorHAnsi"/>
          <w:sz w:val="21"/>
          <w:szCs w:val="21"/>
        </w:rPr>
        <w:t xml:space="preserve"> websites.</w:t>
      </w:r>
    </w:p>
    <w:p w14:paraId="567F112A" w14:textId="77777777" w:rsidR="006C7EEF" w:rsidRPr="00CB71AE" w:rsidRDefault="006C7EEF" w:rsidP="006C7EE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sz w:val="21"/>
          <w:szCs w:val="21"/>
        </w:rPr>
        <w:t>This Communique has been prepared by VCOSS to increase the visibility of this forum.</w:t>
      </w:r>
    </w:p>
    <w:p w14:paraId="63C25C0F" w14:textId="435AC201" w:rsidR="006C7EEF" w:rsidRDefault="006C7EEF" w:rsidP="006C7EEF">
      <w:pPr>
        <w:pStyle w:val="Heading1"/>
        <w:spacing w:after="240"/>
        <w:rPr>
          <w:b/>
          <w:bCs/>
        </w:rPr>
      </w:pPr>
      <w:r w:rsidRPr="00155667">
        <w:rPr>
          <w:b/>
          <w:bCs/>
        </w:rPr>
        <w:t xml:space="preserve">What was discussed in the </w:t>
      </w:r>
      <w:r>
        <w:rPr>
          <w:b/>
          <w:bCs/>
        </w:rPr>
        <w:t>March 2022</w:t>
      </w:r>
      <w:r w:rsidRPr="00155667">
        <w:rPr>
          <w:b/>
          <w:bCs/>
        </w:rPr>
        <w:t xml:space="preserve"> meeting?</w:t>
      </w:r>
    </w:p>
    <w:p w14:paraId="3252A98E" w14:textId="77777777" w:rsidR="006C7EEF" w:rsidRDefault="006C7EEF" w:rsidP="006C7EEF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E9500C">
        <w:rPr>
          <w:rFonts w:asciiTheme="minorHAnsi" w:hAnsiTheme="minorHAnsi" w:cstheme="minorHAnsi"/>
          <w:sz w:val="21"/>
          <w:szCs w:val="21"/>
        </w:rPr>
        <w:t xml:space="preserve">The focus of this meeting was </w:t>
      </w:r>
      <w:r>
        <w:rPr>
          <w:rFonts w:asciiTheme="minorHAnsi" w:hAnsiTheme="minorHAnsi" w:cstheme="minorHAnsi"/>
          <w:sz w:val="21"/>
          <w:szCs w:val="21"/>
        </w:rPr>
        <w:t>Transitions.</w:t>
      </w:r>
    </w:p>
    <w:p w14:paraId="784DEC2D" w14:textId="221E6E98" w:rsidR="00E16405" w:rsidRPr="00464232" w:rsidRDefault="00D11FD4" w:rsidP="00D11FD4">
      <w:pPr>
        <w:pStyle w:val="Heading1"/>
        <w:rPr>
          <w:b/>
          <w:bCs/>
        </w:rPr>
      </w:pPr>
      <w:r>
        <w:rPr>
          <w:b/>
          <w:bCs/>
        </w:rPr>
        <w:t>Supporting under</w:t>
      </w:r>
      <w:r w:rsidR="00C72BA0">
        <w:rPr>
          <w:b/>
          <w:bCs/>
        </w:rPr>
        <w:t>-</w:t>
      </w:r>
      <w:r>
        <w:rPr>
          <w:b/>
          <w:bCs/>
        </w:rPr>
        <w:t xml:space="preserve">represented </w:t>
      </w:r>
      <w:r w:rsidRPr="00464232">
        <w:rPr>
          <w:b/>
          <w:bCs/>
        </w:rPr>
        <w:t>cohorts into early learning</w:t>
      </w:r>
    </w:p>
    <w:p w14:paraId="771D7CD3" w14:textId="65BE89D7" w:rsidR="00324203" w:rsidRDefault="00D11FD4" w:rsidP="00D11FD4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464232">
        <w:rPr>
          <w:rFonts w:asciiTheme="minorHAnsi" w:hAnsiTheme="minorHAnsi" w:cstheme="minorHAnsi"/>
          <w:b/>
          <w:bCs/>
          <w:sz w:val="21"/>
          <w:szCs w:val="21"/>
        </w:rPr>
        <w:t>Fiona Balsillie, Executive Officer Early Learning, Uniting Vic.Tas</w:t>
      </w:r>
      <w:r w:rsidRPr="00464232">
        <w:rPr>
          <w:rFonts w:asciiTheme="minorHAnsi" w:hAnsiTheme="minorHAnsi" w:cstheme="minorHAnsi"/>
          <w:sz w:val="21"/>
          <w:szCs w:val="21"/>
        </w:rPr>
        <w:t xml:space="preserve"> </w:t>
      </w:r>
      <w:r w:rsidR="0024537B" w:rsidRPr="00464232">
        <w:rPr>
          <w:rFonts w:asciiTheme="minorHAnsi" w:hAnsiTheme="minorHAnsi" w:cstheme="minorHAnsi"/>
          <w:sz w:val="21"/>
          <w:szCs w:val="21"/>
        </w:rPr>
        <w:t xml:space="preserve">presented on effective ways </w:t>
      </w:r>
      <w:r w:rsidR="00C72BA0" w:rsidRPr="00464232">
        <w:rPr>
          <w:rFonts w:asciiTheme="minorHAnsi" w:hAnsiTheme="minorHAnsi" w:cstheme="minorHAnsi"/>
          <w:sz w:val="21"/>
          <w:szCs w:val="21"/>
        </w:rPr>
        <w:t>to</w:t>
      </w:r>
      <w:r w:rsidR="0024537B" w:rsidRPr="00464232">
        <w:rPr>
          <w:rFonts w:asciiTheme="minorHAnsi" w:hAnsiTheme="minorHAnsi" w:cstheme="minorHAnsi"/>
          <w:sz w:val="21"/>
          <w:szCs w:val="21"/>
        </w:rPr>
        <w:t xml:space="preserve"> support culturally and linguistically diverse families </w:t>
      </w:r>
      <w:r w:rsidR="00C72BA0" w:rsidRPr="00464232">
        <w:rPr>
          <w:rFonts w:asciiTheme="minorHAnsi" w:hAnsiTheme="minorHAnsi" w:cstheme="minorHAnsi"/>
          <w:sz w:val="21"/>
          <w:szCs w:val="21"/>
        </w:rPr>
        <w:t xml:space="preserve">to </w:t>
      </w:r>
      <w:r w:rsidR="0024537B" w:rsidRPr="00464232">
        <w:rPr>
          <w:rFonts w:asciiTheme="minorHAnsi" w:hAnsiTheme="minorHAnsi" w:cstheme="minorHAnsi"/>
          <w:sz w:val="21"/>
          <w:szCs w:val="21"/>
        </w:rPr>
        <w:t xml:space="preserve">transition into early learning. </w:t>
      </w:r>
      <w:r w:rsidR="00C72BA0" w:rsidRPr="00464232">
        <w:rPr>
          <w:rFonts w:asciiTheme="minorHAnsi" w:hAnsiTheme="minorHAnsi" w:cstheme="minorHAnsi"/>
          <w:sz w:val="21"/>
          <w:szCs w:val="21"/>
        </w:rPr>
        <w:t>Fiona</w:t>
      </w:r>
      <w:r w:rsidR="00C72BA0">
        <w:rPr>
          <w:rFonts w:asciiTheme="minorHAnsi" w:hAnsiTheme="minorHAnsi" w:cstheme="minorHAnsi"/>
          <w:sz w:val="21"/>
          <w:szCs w:val="21"/>
        </w:rPr>
        <w:t xml:space="preserve"> highlighted the positive impact </w:t>
      </w:r>
      <w:r w:rsidR="00D64F1B">
        <w:rPr>
          <w:rFonts w:asciiTheme="minorHAnsi" w:hAnsiTheme="minorHAnsi" w:cstheme="minorHAnsi"/>
          <w:sz w:val="21"/>
          <w:szCs w:val="21"/>
        </w:rPr>
        <w:t>of</w:t>
      </w:r>
      <w:r w:rsidR="00C72BA0">
        <w:rPr>
          <w:rFonts w:asciiTheme="minorHAnsi" w:hAnsiTheme="minorHAnsi" w:cstheme="minorHAnsi"/>
          <w:sz w:val="21"/>
          <w:szCs w:val="21"/>
        </w:rPr>
        <w:t xml:space="preserve"> </w:t>
      </w:r>
      <w:r w:rsidR="0024537B">
        <w:rPr>
          <w:rFonts w:asciiTheme="minorHAnsi" w:hAnsiTheme="minorHAnsi" w:cstheme="minorHAnsi"/>
          <w:sz w:val="21"/>
          <w:szCs w:val="21"/>
        </w:rPr>
        <w:t xml:space="preserve">leveraging established connections in local communities </w:t>
      </w:r>
      <w:r w:rsidR="00C72BA0">
        <w:rPr>
          <w:rFonts w:asciiTheme="minorHAnsi" w:hAnsiTheme="minorHAnsi" w:cstheme="minorHAnsi"/>
          <w:sz w:val="21"/>
          <w:szCs w:val="21"/>
        </w:rPr>
        <w:t>to build</w:t>
      </w:r>
      <w:r w:rsidR="0024537B">
        <w:rPr>
          <w:rFonts w:asciiTheme="minorHAnsi" w:hAnsiTheme="minorHAnsi" w:cstheme="minorHAnsi"/>
          <w:sz w:val="21"/>
          <w:szCs w:val="21"/>
        </w:rPr>
        <w:t xml:space="preserve"> trust; creating and using accessible </w:t>
      </w:r>
      <w:r w:rsidR="00CA0A20">
        <w:rPr>
          <w:rFonts w:asciiTheme="minorHAnsi" w:hAnsiTheme="minorHAnsi" w:cstheme="minorHAnsi"/>
          <w:sz w:val="21"/>
          <w:szCs w:val="21"/>
        </w:rPr>
        <w:t>communication</w:t>
      </w:r>
      <w:r w:rsidR="0024537B">
        <w:rPr>
          <w:rFonts w:asciiTheme="minorHAnsi" w:hAnsiTheme="minorHAnsi" w:cstheme="minorHAnsi"/>
          <w:sz w:val="21"/>
          <w:szCs w:val="21"/>
        </w:rPr>
        <w:t xml:space="preserve"> </w:t>
      </w:r>
      <w:r w:rsidR="005F5706">
        <w:rPr>
          <w:rFonts w:asciiTheme="minorHAnsi" w:hAnsiTheme="minorHAnsi" w:cstheme="minorHAnsi"/>
          <w:sz w:val="21"/>
          <w:szCs w:val="21"/>
        </w:rPr>
        <w:t>through</w:t>
      </w:r>
      <w:r w:rsidR="0024537B">
        <w:rPr>
          <w:rFonts w:asciiTheme="minorHAnsi" w:hAnsiTheme="minorHAnsi" w:cstheme="minorHAnsi"/>
          <w:sz w:val="21"/>
          <w:szCs w:val="21"/>
        </w:rPr>
        <w:t xml:space="preserve"> translated resources, translators and visual aids</w:t>
      </w:r>
      <w:r w:rsidR="00C72BA0">
        <w:rPr>
          <w:rFonts w:asciiTheme="minorHAnsi" w:hAnsiTheme="minorHAnsi" w:cstheme="minorHAnsi"/>
          <w:sz w:val="21"/>
          <w:szCs w:val="21"/>
        </w:rPr>
        <w:t>;</w:t>
      </w:r>
      <w:r w:rsidR="005F5706">
        <w:rPr>
          <w:rFonts w:asciiTheme="minorHAnsi" w:hAnsiTheme="minorHAnsi" w:cstheme="minorHAnsi"/>
          <w:sz w:val="21"/>
          <w:szCs w:val="21"/>
        </w:rPr>
        <w:t xml:space="preserve"> and using bilingual outreach support </w:t>
      </w:r>
      <w:r w:rsidR="00393CF7">
        <w:rPr>
          <w:rFonts w:asciiTheme="minorHAnsi" w:hAnsiTheme="minorHAnsi" w:cstheme="minorHAnsi"/>
          <w:sz w:val="21"/>
          <w:szCs w:val="21"/>
        </w:rPr>
        <w:t>workers</w:t>
      </w:r>
      <w:r w:rsidR="005F5706">
        <w:rPr>
          <w:rFonts w:asciiTheme="minorHAnsi" w:hAnsiTheme="minorHAnsi" w:cstheme="minorHAnsi"/>
          <w:sz w:val="21"/>
          <w:szCs w:val="21"/>
        </w:rPr>
        <w:t xml:space="preserve"> to build awareness and understanding of the value of early learning, </w:t>
      </w:r>
      <w:r w:rsidR="00393CF7">
        <w:rPr>
          <w:rFonts w:asciiTheme="minorHAnsi" w:hAnsiTheme="minorHAnsi" w:cstheme="minorHAnsi"/>
          <w:sz w:val="21"/>
          <w:szCs w:val="21"/>
        </w:rPr>
        <w:t xml:space="preserve">provide </w:t>
      </w:r>
      <w:r w:rsidR="005F5706">
        <w:rPr>
          <w:rFonts w:asciiTheme="minorHAnsi" w:hAnsiTheme="minorHAnsi" w:cstheme="minorHAnsi"/>
          <w:sz w:val="21"/>
          <w:szCs w:val="21"/>
        </w:rPr>
        <w:t>support in overcoming barriers to participation (for example</w:t>
      </w:r>
      <w:r w:rsidR="00C72BA0">
        <w:rPr>
          <w:rFonts w:asciiTheme="minorHAnsi" w:hAnsiTheme="minorHAnsi" w:cstheme="minorHAnsi"/>
          <w:sz w:val="21"/>
          <w:szCs w:val="21"/>
        </w:rPr>
        <w:t>,</w:t>
      </w:r>
      <w:r w:rsidR="005F5706">
        <w:rPr>
          <w:rFonts w:asciiTheme="minorHAnsi" w:hAnsiTheme="minorHAnsi" w:cstheme="minorHAnsi"/>
          <w:sz w:val="21"/>
          <w:szCs w:val="21"/>
        </w:rPr>
        <w:t xml:space="preserve"> enrolment), and providing weekly support in language at the early learning service.</w:t>
      </w:r>
    </w:p>
    <w:p w14:paraId="2EF38AF8" w14:textId="44FD6C14" w:rsidR="00324203" w:rsidRPr="00AC6535" w:rsidRDefault="00324203" w:rsidP="00AC6535">
      <w:pPr>
        <w:pStyle w:val="ListParagraph"/>
        <w:numPr>
          <w:ilvl w:val="0"/>
          <w:numId w:val="5"/>
        </w:numPr>
        <w:tabs>
          <w:tab w:val="left" w:pos="5954"/>
        </w:tabs>
        <w:rPr>
          <w:rFonts w:ascii="Calibri" w:hAnsi="Calibri" w:cs="Calibri"/>
          <w:sz w:val="21"/>
          <w:szCs w:val="21"/>
        </w:rPr>
      </w:pPr>
      <w:r w:rsidRPr="00AC6535">
        <w:rPr>
          <w:rFonts w:ascii="Calibri" w:hAnsi="Calibri" w:cs="Calibri"/>
          <w:color w:val="011A3C"/>
          <w:sz w:val="21"/>
          <w:szCs w:val="21"/>
          <w:shd w:val="clear" w:color="auto" w:fill="FFFFFF"/>
        </w:rPr>
        <w:t xml:space="preserve">Further information about programs delivered by Uniting </w:t>
      </w:r>
      <w:proofErr w:type="spellStart"/>
      <w:r w:rsidRPr="00AC6535">
        <w:rPr>
          <w:rFonts w:ascii="Calibri" w:hAnsi="Calibri" w:cs="Calibri"/>
          <w:color w:val="011A3C"/>
          <w:sz w:val="21"/>
          <w:szCs w:val="21"/>
          <w:shd w:val="clear" w:color="auto" w:fill="FFFFFF"/>
        </w:rPr>
        <w:t>Vic.Tas</w:t>
      </w:r>
      <w:proofErr w:type="spellEnd"/>
      <w:r w:rsidRPr="00AC6535">
        <w:rPr>
          <w:rFonts w:ascii="Calibri" w:hAnsi="Calibri" w:cs="Calibri"/>
          <w:color w:val="011A3C"/>
          <w:sz w:val="21"/>
          <w:szCs w:val="21"/>
          <w:shd w:val="clear" w:color="auto" w:fill="FFFFFF"/>
        </w:rPr>
        <w:t xml:space="preserve"> at </w:t>
      </w:r>
      <w:r w:rsidRPr="00AC6535">
        <w:rPr>
          <w:rFonts w:ascii="Calibri" w:hAnsi="Calibri" w:cs="Calibri"/>
          <w:color w:val="011A3C"/>
          <w:sz w:val="21"/>
          <w:szCs w:val="21"/>
          <w:shd w:val="clear" w:color="auto" w:fill="FFFFFF"/>
        </w:rPr>
        <w:t>their</w:t>
      </w:r>
      <w:r w:rsidR="00F37299" w:rsidRPr="00AC6535">
        <w:rPr>
          <w:rFonts w:ascii="Calibri" w:hAnsi="Calibri" w:cs="Calibri"/>
          <w:color w:val="011A3C"/>
          <w:sz w:val="21"/>
          <w:szCs w:val="21"/>
          <w:shd w:val="clear" w:color="auto" w:fill="FFFFFF"/>
        </w:rPr>
        <w:t xml:space="preserve"> </w:t>
      </w:r>
      <w:hyperlink r:id="rId10" w:history="1">
        <w:r w:rsidRPr="00AC6535">
          <w:rPr>
            <w:rStyle w:val="rpl-text-label"/>
            <w:rFonts w:ascii="Calibri" w:hAnsi="Calibri" w:cs="Calibri"/>
            <w:color w:val="0052C2"/>
            <w:sz w:val="21"/>
            <w:szCs w:val="21"/>
            <w:shd w:val="clear" w:color="auto" w:fill="FFFFFF"/>
          </w:rPr>
          <w:t>early</w:t>
        </w:r>
        <w:r w:rsidR="00F37299" w:rsidRPr="00AC6535">
          <w:rPr>
            <w:rStyle w:val="rpl-text-label"/>
            <w:rFonts w:ascii="Calibri" w:hAnsi="Calibri" w:cs="Calibri"/>
            <w:color w:val="0052C2"/>
            <w:sz w:val="21"/>
            <w:szCs w:val="21"/>
            <w:shd w:val="clear" w:color="auto" w:fill="FFFFFF"/>
          </w:rPr>
          <w:t xml:space="preserve"> </w:t>
        </w:r>
        <w:r w:rsidRPr="00AC6535">
          <w:rPr>
            <w:rStyle w:val="rpl-text-icongroup"/>
            <w:rFonts w:ascii="Calibri" w:hAnsi="Calibri" w:cs="Calibri"/>
            <w:color w:val="0052C2"/>
            <w:sz w:val="21"/>
            <w:szCs w:val="21"/>
            <w:shd w:val="clear" w:color="auto" w:fill="FFFFFF"/>
          </w:rPr>
          <w:t>learning</w:t>
        </w:r>
      </w:hyperlink>
      <w:r w:rsidR="00F37299" w:rsidRPr="00AC6535">
        <w:rPr>
          <w:rFonts w:ascii="Calibri" w:hAnsi="Calibri" w:cs="Calibri"/>
          <w:color w:val="011A3C"/>
          <w:sz w:val="21"/>
          <w:szCs w:val="21"/>
          <w:shd w:val="clear" w:color="auto" w:fill="FFFFFF"/>
        </w:rPr>
        <w:t xml:space="preserve"> </w:t>
      </w:r>
      <w:r w:rsidRPr="00AC6535">
        <w:rPr>
          <w:rFonts w:ascii="Calibri" w:hAnsi="Calibri" w:cs="Calibri"/>
          <w:color w:val="011A3C"/>
          <w:sz w:val="21"/>
          <w:szCs w:val="21"/>
          <w:shd w:val="clear" w:color="auto" w:fill="FFFFFF"/>
        </w:rPr>
        <w:t>and</w:t>
      </w:r>
      <w:r w:rsidR="00F37299" w:rsidRPr="00AC6535">
        <w:rPr>
          <w:rFonts w:ascii="Calibri" w:hAnsi="Calibri" w:cs="Calibri"/>
          <w:color w:val="011A3C"/>
          <w:sz w:val="21"/>
          <w:szCs w:val="21"/>
          <w:shd w:val="clear" w:color="auto" w:fill="FFFFFF"/>
        </w:rPr>
        <w:t xml:space="preserve"> </w:t>
      </w:r>
      <w:hyperlink r:id="rId11" w:history="1">
        <w:r w:rsidRPr="00AC6535">
          <w:rPr>
            <w:rStyle w:val="rpl-text-label"/>
            <w:rFonts w:ascii="Calibri" w:hAnsi="Calibri" w:cs="Calibri"/>
            <w:color w:val="0052C2"/>
            <w:sz w:val="21"/>
            <w:szCs w:val="21"/>
            <w:shd w:val="clear" w:color="auto" w:fill="FFFFFF"/>
          </w:rPr>
          <w:t>mult</w:t>
        </w:r>
        <w:r w:rsidRPr="00AC6535">
          <w:rPr>
            <w:rStyle w:val="rpl-text-label"/>
            <w:rFonts w:ascii="Calibri" w:hAnsi="Calibri" w:cs="Calibri"/>
            <w:color w:val="0052C2"/>
            <w:sz w:val="21"/>
            <w:szCs w:val="21"/>
            <w:shd w:val="clear" w:color="auto" w:fill="FFFFFF"/>
          </w:rPr>
          <w:t>i</w:t>
        </w:r>
        <w:r w:rsidRPr="00AC6535">
          <w:rPr>
            <w:rStyle w:val="rpl-text-label"/>
            <w:rFonts w:ascii="Calibri" w:hAnsi="Calibri" w:cs="Calibri"/>
            <w:color w:val="0052C2"/>
            <w:sz w:val="21"/>
            <w:szCs w:val="21"/>
            <w:shd w:val="clear" w:color="auto" w:fill="FFFFFF"/>
          </w:rPr>
          <w:t>cultural</w:t>
        </w:r>
        <w:r w:rsidR="00F37299" w:rsidRPr="00AC6535">
          <w:rPr>
            <w:rStyle w:val="rpl-text-label"/>
            <w:rFonts w:ascii="Calibri" w:hAnsi="Calibri" w:cs="Calibri"/>
            <w:color w:val="0052C2"/>
            <w:sz w:val="21"/>
            <w:szCs w:val="21"/>
            <w:shd w:val="clear" w:color="auto" w:fill="FFFFFF"/>
          </w:rPr>
          <w:t xml:space="preserve"> </w:t>
        </w:r>
        <w:r w:rsidRPr="00AC6535">
          <w:rPr>
            <w:rStyle w:val="rpl-text-icongroup"/>
            <w:rFonts w:ascii="Calibri" w:hAnsi="Calibri" w:cs="Calibri"/>
            <w:color w:val="0052C2"/>
            <w:sz w:val="21"/>
            <w:szCs w:val="21"/>
            <w:shd w:val="clear" w:color="auto" w:fill="FFFFFF"/>
          </w:rPr>
          <w:t>services</w:t>
        </w:r>
      </w:hyperlink>
      <w:r w:rsidR="00F37299" w:rsidRPr="00AC6535">
        <w:rPr>
          <w:rFonts w:ascii="Calibri" w:hAnsi="Calibri" w:cs="Calibri"/>
          <w:color w:val="011A3C"/>
          <w:sz w:val="21"/>
          <w:szCs w:val="21"/>
          <w:shd w:val="clear" w:color="auto" w:fill="FFFFFF"/>
        </w:rPr>
        <w:t xml:space="preserve"> </w:t>
      </w:r>
      <w:r w:rsidRPr="00AC6535">
        <w:rPr>
          <w:rFonts w:ascii="Calibri" w:hAnsi="Calibri" w:cs="Calibri"/>
          <w:color w:val="011A3C"/>
          <w:sz w:val="21"/>
          <w:szCs w:val="21"/>
          <w:shd w:val="clear" w:color="auto" w:fill="FFFFFF"/>
        </w:rPr>
        <w:t>webpages.</w:t>
      </w:r>
    </w:p>
    <w:p w14:paraId="73E4BA21" w14:textId="56BCBA26" w:rsidR="006C7EEF" w:rsidRDefault="00226545" w:rsidP="00226545">
      <w:pPr>
        <w:pStyle w:val="Heading1"/>
        <w:rPr>
          <w:b/>
          <w:bCs/>
        </w:rPr>
      </w:pPr>
      <w:bookmarkStart w:id="0" w:name="_Hlk98842292"/>
      <w:r>
        <w:rPr>
          <w:b/>
          <w:bCs/>
        </w:rPr>
        <w:t xml:space="preserve">Transitions for young people with youth </w:t>
      </w:r>
      <w:bookmarkStart w:id="1" w:name="_Hlk98146057"/>
      <w:r>
        <w:rPr>
          <w:b/>
          <w:bCs/>
        </w:rPr>
        <w:t>justice involvement</w:t>
      </w:r>
      <w:bookmarkEnd w:id="1"/>
    </w:p>
    <w:p w14:paraId="213E22AB" w14:textId="29CB1C57" w:rsidR="00226545" w:rsidRDefault="001A4BF8" w:rsidP="00226545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Murray Geddes, Principal – LOOKOUT Centre, South East Victoria Region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186BC8">
        <w:rPr>
          <w:rFonts w:asciiTheme="minorHAnsi" w:hAnsiTheme="minorHAnsi" w:cstheme="minorHAnsi"/>
          <w:sz w:val="21"/>
          <w:szCs w:val="21"/>
        </w:rPr>
        <w:t xml:space="preserve">provided an update </w:t>
      </w:r>
      <w:r w:rsidR="002E770F">
        <w:rPr>
          <w:rFonts w:asciiTheme="minorHAnsi" w:hAnsiTheme="minorHAnsi" w:cstheme="minorHAnsi"/>
          <w:sz w:val="21"/>
          <w:szCs w:val="21"/>
        </w:rPr>
        <w:t>on the work of</w:t>
      </w:r>
      <w:r w:rsidR="00186BC8">
        <w:rPr>
          <w:rFonts w:asciiTheme="minorHAnsi" w:hAnsiTheme="minorHAnsi" w:cstheme="minorHAnsi"/>
          <w:sz w:val="21"/>
          <w:szCs w:val="21"/>
        </w:rPr>
        <w:t xml:space="preserve"> LOOKOUT Centres </w:t>
      </w:r>
      <w:r w:rsidR="002E770F">
        <w:rPr>
          <w:rFonts w:asciiTheme="minorHAnsi" w:hAnsiTheme="minorHAnsi" w:cstheme="minorHAnsi"/>
          <w:sz w:val="21"/>
          <w:szCs w:val="21"/>
        </w:rPr>
        <w:t>in</w:t>
      </w:r>
      <w:r w:rsidR="00186BC8">
        <w:rPr>
          <w:rFonts w:asciiTheme="minorHAnsi" w:hAnsiTheme="minorHAnsi" w:cstheme="minorHAnsi"/>
          <w:sz w:val="21"/>
          <w:szCs w:val="21"/>
        </w:rPr>
        <w:t xml:space="preserve"> support</w:t>
      </w:r>
      <w:r w:rsidR="002E770F">
        <w:rPr>
          <w:rFonts w:asciiTheme="minorHAnsi" w:hAnsiTheme="minorHAnsi" w:cstheme="minorHAnsi"/>
          <w:sz w:val="21"/>
          <w:szCs w:val="21"/>
        </w:rPr>
        <w:t>ing</w:t>
      </w:r>
      <w:r w:rsidR="00186BC8">
        <w:rPr>
          <w:rFonts w:asciiTheme="minorHAnsi" w:hAnsiTheme="minorHAnsi" w:cstheme="minorHAnsi"/>
          <w:sz w:val="21"/>
          <w:szCs w:val="21"/>
        </w:rPr>
        <w:t xml:space="preserve"> young people with youth justice involvement. Supports include but are not limited to</w:t>
      </w:r>
      <w:r w:rsidR="00650F5C">
        <w:rPr>
          <w:rFonts w:asciiTheme="minorHAnsi" w:hAnsiTheme="minorHAnsi" w:cstheme="minorHAnsi"/>
          <w:sz w:val="21"/>
          <w:szCs w:val="21"/>
        </w:rPr>
        <w:t xml:space="preserve"> using</w:t>
      </w:r>
      <w:r w:rsidR="00186BC8">
        <w:rPr>
          <w:rFonts w:asciiTheme="minorHAnsi" w:hAnsiTheme="minorHAnsi" w:cstheme="minorHAnsi"/>
          <w:sz w:val="21"/>
          <w:szCs w:val="21"/>
        </w:rPr>
        <w:t xml:space="preserve"> multidisciplinary care teams, Youth Justice Advisors, Learning Mentors, Student Support Groups and Individual Education Plans. </w:t>
      </w:r>
      <w:r w:rsidR="00791943">
        <w:rPr>
          <w:rFonts w:asciiTheme="minorHAnsi" w:hAnsiTheme="minorHAnsi" w:cstheme="minorHAnsi"/>
          <w:sz w:val="21"/>
          <w:szCs w:val="21"/>
        </w:rPr>
        <w:t xml:space="preserve">The meeting highlighted the importance of </w:t>
      </w:r>
      <w:r w:rsidR="00393CF7">
        <w:rPr>
          <w:rFonts w:asciiTheme="minorHAnsi" w:hAnsiTheme="minorHAnsi" w:cstheme="minorHAnsi"/>
          <w:sz w:val="21"/>
          <w:szCs w:val="21"/>
        </w:rPr>
        <w:t xml:space="preserve">planning and consistent communication, </w:t>
      </w:r>
      <w:r w:rsidR="002E770F">
        <w:rPr>
          <w:rFonts w:asciiTheme="minorHAnsi" w:hAnsiTheme="minorHAnsi" w:cstheme="minorHAnsi"/>
          <w:sz w:val="21"/>
          <w:szCs w:val="21"/>
        </w:rPr>
        <w:t xml:space="preserve">ensuring clarity around roles and responsibilities, </w:t>
      </w:r>
      <w:r w:rsidR="00652DD3">
        <w:rPr>
          <w:rFonts w:asciiTheme="minorHAnsi" w:hAnsiTheme="minorHAnsi" w:cstheme="minorHAnsi"/>
          <w:sz w:val="21"/>
          <w:szCs w:val="21"/>
        </w:rPr>
        <w:t>and increasing the capacity and understanding of the school system</w:t>
      </w:r>
      <w:r w:rsidR="00371B68">
        <w:rPr>
          <w:rFonts w:asciiTheme="minorHAnsi" w:hAnsiTheme="minorHAnsi" w:cstheme="minorHAnsi"/>
          <w:sz w:val="21"/>
          <w:szCs w:val="21"/>
        </w:rPr>
        <w:t xml:space="preserve"> about meeting the needs of young people with youth justice involvement</w:t>
      </w:r>
      <w:r w:rsidR="00652DD3">
        <w:rPr>
          <w:rFonts w:asciiTheme="minorHAnsi" w:hAnsiTheme="minorHAnsi" w:cstheme="minorHAnsi"/>
          <w:sz w:val="21"/>
          <w:szCs w:val="21"/>
        </w:rPr>
        <w:t>.</w:t>
      </w:r>
      <w:r w:rsidR="00D921C2">
        <w:rPr>
          <w:rFonts w:asciiTheme="minorHAnsi" w:hAnsiTheme="minorHAnsi" w:cstheme="minorHAnsi"/>
          <w:sz w:val="21"/>
          <w:szCs w:val="21"/>
        </w:rPr>
        <w:t xml:space="preserve"> </w:t>
      </w:r>
    </w:p>
    <w:bookmarkEnd w:id="0"/>
    <w:p w14:paraId="7FF6C6A8" w14:textId="2DC8A544" w:rsidR="000F378B" w:rsidRPr="000F378B" w:rsidRDefault="000F378B" w:rsidP="000F378B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11A3C"/>
          <w:sz w:val="21"/>
          <w:szCs w:val="21"/>
        </w:rPr>
      </w:pPr>
      <w:r w:rsidRPr="000F378B">
        <w:rPr>
          <w:rFonts w:ascii="Calibri" w:hAnsi="Calibri" w:cs="Calibri"/>
          <w:color w:val="011A3C"/>
          <w:sz w:val="21"/>
          <w:szCs w:val="21"/>
        </w:rPr>
        <w:t>Further information about</w:t>
      </w:r>
      <w:r w:rsidR="00F37299">
        <w:rPr>
          <w:rFonts w:ascii="Calibri" w:hAnsi="Calibri" w:cs="Calibri"/>
          <w:color w:val="011A3C"/>
          <w:sz w:val="21"/>
          <w:szCs w:val="21"/>
        </w:rPr>
        <w:t xml:space="preserve"> </w:t>
      </w:r>
      <w:hyperlink r:id="rId12" w:history="1">
        <w:r w:rsidRPr="000F378B">
          <w:rPr>
            <w:rStyle w:val="rpl-text-label"/>
            <w:rFonts w:ascii="Calibri" w:hAnsi="Calibri" w:cs="Calibri"/>
            <w:color w:val="0052C2"/>
            <w:sz w:val="21"/>
            <w:szCs w:val="21"/>
          </w:rPr>
          <w:t>LOOKOUT</w:t>
        </w:r>
        <w:r w:rsidR="00F37299">
          <w:rPr>
            <w:rStyle w:val="rpl-text-label"/>
            <w:rFonts w:ascii="Calibri" w:hAnsi="Calibri" w:cs="Calibri"/>
            <w:color w:val="0052C2"/>
            <w:sz w:val="21"/>
            <w:szCs w:val="21"/>
          </w:rPr>
          <w:t xml:space="preserve"> </w:t>
        </w:r>
        <w:r w:rsidRPr="000F378B">
          <w:rPr>
            <w:rStyle w:val="rpl-text-icongroup"/>
            <w:rFonts w:ascii="Calibri" w:hAnsi="Calibri" w:cs="Calibri"/>
            <w:color w:val="0052C2"/>
            <w:sz w:val="21"/>
            <w:szCs w:val="21"/>
          </w:rPr>
          <w:t>Centres</w:t>
        </w:r>
      </w:hyperlink>
      <w:r w:rsidRPr="000F378B">
        <w:rPr>
          <w:rFonts w:ascii="Calibri" w:hAnsi="Calibri" w:cs="Calibri"/>
          <w:color w:val="011A3C"/>
          <w:sz w:val="21"/>
          <w:szCs w:val="21"/>
        </w:rPr>
        <w:t>.</w:t>
      </w:r>
    </w:p>
    <w:p w14:paraId="3930105F" w14:textId="3729C3CE" w:rsidR="000F378B" w:rsidRPr="000F378B" w:rsidRDefault="000F378B" w:rsidP="000F378B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11A3C"/>
          <w:sz w:val="21"/>
          <w:szCs w:val="21"/>
        </w:rPr>
      </w:pPr>
      <w:r w:rsidRPr="000F378B">
        <w:rPr>
          <w:rFonts w:ascii="Calibri" w:hAnsi="Calibri" w:cs="Calibri"/>
          <w:color w:val="011A3C"/>
          <w:sz w:val="21"/>
          <w:szCs w:val="21"/>
        </w:rPr>
        <w:t>Find information on the department’s</w:t>
      </w:r>
      <w:r w:rsidR="00F37299">
        <w:rPr>
          <w:rFonts w:ascii="Calibri" w:hAnsi="Calibri" w:cs="Calibri"/>
          <w:color w:val="011A3C"/>
          <w:sz w:val="21"/>
          <w:szCs w:val="21"/>
        </w:rPr>
        <w:t xml:space="preserve"> </w:t>
      </w:r>
      <w:hyperlink r:id="rId13" w:history="1">
        <w:r w:rsidRPr="000F378B">
          <w:rPr>
            <w:rStyle w:val="rpl-text-label"/>
            <w:rFonts w:ascii="Calibri" w:hAnsi="Calibri" w:cs="Calibri"/>
            <w:color w:val="0052C2"/>
            <w:sz w:val="21"/>
            <w:szCs w:val="21"/>
          </w:rPr>
          <w:t>Youth Justice</w:t>
        </w:r>
        <w:r w:rsidR="00F37299">
          <w:rPr>
            <w:rStyle w:val="rpl-text-label"/>
            <w:rFonts w:ascii="Calibri" w:hAnsi="Calibri" w:cs="Calibri"/>
            <w:color w:val="0052C2"/>
            <w:sz w:val="21"/>
            <w:szCs w:val="21"/>
          </w:rPr>
          <w:t xml:space="preserve"> </w:t>
        </w:r>
        <w:r w:rsidRPr="000F378B">
          <w:rPr>
            <w:rStyle w:val="rpl-text-icongroup"/>
            <w:rFonts w:ascii="Calibri" w:hAnsi="Calibri" w:cs="Calibri"/>
            <w:color w:val="0052C2"/>
            <w:sz w:val="21"/>
            <w:szCs w:val="21"/>
          </w:rPr>
          <w:t>policy</w:t>
        </w:r>
      </w:hyperlink>
      <w:r w:rsidRPr="000F378B">
        <w:rPr>
          <w:rFonts w:ascii="Calibri" w:hAnsi="Calibri" w:cs="Calibri"/>
          <w:color w:val="011A3C"/>
          <w:sz w:val="21"/>
          <w:szCs w:val="21"/>
        </w:rPr>
        <w:t>.</w:t>
      </w:r>
    </w:p>
    <w:p w14:paraId="34F3BB84" w14:textId="330FF52A" w:rsidR="001859F3" w:rsidRDefault="008A31ED" w:rsidP="003C4B0B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0313CF">
        <w:rPr>
          <w:rFonts w:asciiTheme="minorHAnsi" w:hAnsiTheme="minorHAnsi" w:cstheme="minorHAnsi"/>
          <w:b/>
          <w:bCs/>
          <w:sz w:val="21"/>
          <w:szCs w:val="21"/>
        </w:rPr>
        <w:t>Trent McCarthy, CEO Central Ranges Local Learning and Employment Network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D64F1B">
        <w:rPr>
          <w:rFonts w:asciiTheme="minorHAnsi" w:hAnsiTheme="minorHAnsi" w:cstheme="minorHAnsi"/>
          <w:b/>
          <w:bCs/>
          <w:sz w:val="21"/>
          <w:szCs w:val="21"/>
        </w:rPr>
        <w:t xml:space="preserve">(LLEN) </w:t>
      </w:r>
      <w:r>
        <w:rPr>
          <w:rFonts w:asciiTheme="minorHAnsi" w:hAnsiTheme="minorHAnsi" w:cstheme="minorHAnsi"/>
          <w:b/>
          <w:bCs/>
          <w:sz w:val="21"/>
          <w:szCs w:val="21"/>
        </w:rPr>
        <w:t>and Chair of VicLLEN</w:t>
      </w:r>
      <w:r w:rsidR="00490346">
        <w:rPr>
          <w:rFonts w:asciiTheme="minorHAnsi" w:hAnsiTheme="minorHAnsi" w:cstheme="minorHAnsi"/>
          <w:b/>
          <w:bCs/>
          <w:sz w:val="21"/>
          <w:szCs w:val="21"/>
        </w:rPr>
        <w:t>s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133B7C">
        <w:rPr>
          <w:rFonts w:asciiTheme="minorHAnsi" w:hAnsiTheme="minorHAnsi" w:cstheme="minorHAnsi"/>
          <w:sz w:val="21"/>
          <w:szCs w:val="21"/>
        </w:rPr>
        <w:t xml:space="preserve">spoke about the importance of partnerships across government departments, local organisations and local business to </w:t>
      </w:r>
      <w:r w:rsidR="00791943">
        <w:rPr>
          <w:rFonts w:asciiTheme="minorHAnsi" w:hAnsiTheme="minorHAnsi" w:cstheme="minorHAnsi"/>
          <w:sz w:val="21"/>
          <w:szCs w:val="21"/>
        </w:rPr>
        <w:t xml:space="preserve">support young people who are youth justice system involved </w:t>
      </w:r>
      <w:r w:rsidR="00E25E10">
        <w:rPr>
          <w:rFonts w:asciiTheme="minorHAnsi" w:hAnsiTheme="minorHAnsi" w:cstheme="minorHAnsi"/>
          <w:sz w:val="21"/>
          <w:szCs w:val="21"/>
        </w:rPr>
        <w:t xml:space="preserve">to </w:t>
      </w:r>
      <w:r w:rsidR="00133B7C">
        <w:rPr>
          <w:rFonts w:asciiTheme="minorHAnsi" w:hAnsiTheme="minorHAnsi" w:cstheme="minorHAnsi"/>
          <w:sz w:val="21"/>
          <w:szCs w:val="21"/>
        </w:rPr>
        <w:t xml:space="preserve">sustain engagement with education, training or employment </w:t>
      </w:r>
      <w:r w:rsidR="00E25E10">
        <w:rPr>
          <w:rFonts w:asciiTheme="minorHAnsi" w:hAnsiTheme="minorHAnsi" w:cstheme="minorHAnsi"/>
          <w:sz w:val="21"/>
          <w:szCs w:val="21"/>
        </w:rPr>
        <w:t xml:space="preserve">as they </w:t>
      </w:r>
      <w:r w:rsidR="00133B7C">
        <w:rPr>
          <w:rFonts w:asciiTheme="minorHAnsi" w:hAnsiTheme="minorHAnsi" w:cstheme="minorHAnsi"/>
          <w:sz w:val="21"/>
          <w:szCs w:val="21"/>
        </w:rPr>
        <w:t xml:space="preserve">transition out of youth justice centres. The VicLLENs have recently formalised a Memorandum of Understanding with Parkville College to </w:t>
      </w:r>
      <w:r w:rsidR="00E25E10">
        <w:rPr>
          <w:rFonts w:asciiTheme="minorHAnsi" w:hAnsiTheme="minorHAnsi" w:cstheme="minorHAnsi"/>
          <w:sz w:val="21"/>
          <w:szCs w:val="21"/>
        </w:rPr>
        <w:t xml:space="preserve">support this work.  </w:t>
      </w:r>
    </w:p>
    <w:p w14:paraId="25639359" w14:textId="0CF2525A" w:rsidR="0084514A" w:rsidRPr="000F378B" w:rsidRDefault="000F378B" w:rsidP="000F37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11A3C"/>
          <w:sz w:val="21"/>
          <w:szCs w:val="21"/>
        </w:rPr>
      </w:pPr>
      <w:r w:rsidRPr="000F378B">
        <w:rPr>
          <w:rFonts w:asciiTheme="minorHAnsi" w:hAnsiTheme="minorHAnsi" w:cstheme="minorHAnsi"/>
          <w:color w:val="011A3C"/>
          <w:sz w:val="21"/>
          <w:szCs w:val="21"/>
        </w:rPr>
        <w:t>Find further information at the</w:t>
      </w:r>
      <w:r w:rsidR="00F37299">
        <w:rPr>
          <w:rFonts w:asciiTheme="minorHAnsi" w:hAnsiTheme="minorHAnsi" w:cstheme="minorHAnsi"/>
          <w:color w:val="011A3C"/>
          <w:sz w:val="21"/>
          <w:szCs w:val="21"/>
        </w:rPr>
        <w:t xml:space="preserve"> </w:t>
      </w:r>
      <w:hyperlink r:id="rId14" w:history="1">
        <w:proofErr w:type="spellStart"/>
        <w:r w:rsidRPr="000F378B">
          <w:rPr>
            <w:rStyle w:val="rpl-text-icongroup"/>
            <w:rFonts w:asciiTheme="minorHAnsi" w:hAnsiTheme="minorHAnsi" w:cstheme="minorHAnsi"/>
            <w:color w:val="0052C2"/>
            <w:sz w:val="21"/>
            <w:szCs w:val="21"/>
          </w:rPr>
          <w:t>VicLLENs</w:t>
        </w:r>
        <w:proofErr w:type="spellEnd"/>
      </w:hyperlink>
      <w:r w:rsidR="00F37299">
        <w:rPr>
          <w:rFonts w:asciiTheme="minorHAnsi" w:hAnsiTheme="minorHAnsi" w:cstheme="minorHAnsi"/>
          <w:color w:val="011A3C"/>
          <w:sz w:val="21"/>
          <w:szCs w:val="21"/>
        </w:rPr>
        <w:t xml:space="preserve"> </w:t>
      </w:r>
      <w:r w:rsidRPr="000F378B">
        <w:rPr>
          <w:rFonts w:asciiTheme="minorHAnsi" w:hAnsiTheme="minorHAnsi" w:cstheme="minorHAnsi"/>
          <w:color w:val="011A3C"/>
          <w:sz w:val="21"/>
          <w:szCs w:val="21"/>
        </w:rPr>
        <w:t>webpage</w:t>
      </w:r>
      <w:r>
        <w:rPr>
          <w:rFonts w:asciiTheme="minorHAnsi" w:hAnsiTheme="minorHAnsi" w:cstheme="minorHAnsi"/>
          <w:color w:val="011A3C"/>
          <w:sz w:val="21"/>
          <w:szCs w:val="21"/>
        </w:rPr>
        <w:t>.</w:t>
      </w:r>
    </w:p>
    <w:p w14:paraId="0939A11C" w14:textId="5829D4BE" w:rsidR="00D921C2" w:rsidRDefault="00D921C2" w:rsidP="00D921C2">
      <w:pPr>
        <w:pStyle w:val="Heading1"/>
        <w:spacing w:after="240"/>
        <w:rPr>
          <w:b/>
          <w:bCs/>
        </w:rPr>
      </w:pPr>
      <w:r>
        <w:rPr>
          <w:b/>
          <w:bCs/>
        </w:rPr>
        <w:t>Quick updates</w:t>
      </w:r>
    </w:p>
    <w:p w14:paraId="3D99DBD6" w14:textId="54512244" w:rsidR="001F2B70" w:rsidRDefault="00D921C2" w:rsidP="003C4B0B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Murray Geddes, Principal – LOOKOUT Centre, South East Victoria Region</w:t>
      </w:r>
      <w:r>
        <w:rPr>
          <w:rFonts w:asciiTheme="minorHAnsi" w:hAnsiTheme="minorHAnsi" w:cstheme="minorHAnsi"/>
          <w:sz w:val="21"/>
          <w:szCs w:val="21"/>
        </w:rPr>
        <w:t xml:space="preserve"> spoke about the Early Years LOOKOUT program</w:t>
      </w:r>
      <w:r w:rsidR="00DE7B76">
        <w:rPr>
          <w:rFonts w:asciiTheme="minorHAnsi" w:hAnsiTheme="minorHAnsi" w:cstheme="minorHAnsi"/>
          <w:sz w:val="21"/>
          <w:szCs w:val="21"/>
        </w:rPr>
        <w:t xml:space="preserve"> which uses multidisciplinary teams </w:t>
      </w:r>
      <w:r w:rsidR="00DE7B76" w:rsidRPr="00F0686F">
        <w:rPr>
          <w:rFonts w:asciiTheme="minorHAnsi" w:hAnsiTheme="minorHAnsi" w:cstheme="minorHAnsi"/>
          <w:sz w:val="21"/>
          <w:szCs w:val="21"/>
        </w:rPr>
        <w:t xml:space="preserve">to support children in out of home care </w:t>
      </w:r>
      <w:r w:rsidR="00DF5EED" w:rsidRPr="00F0686F">
        <w:rPr>
          <w:rFonts w:asciiTheme="minorHAnsi" w:hAnsiTheme="minorHAnsi" w:cstheme="minorHAnsi"/>
          <w:sz w:val="21"/>
          <w:szCs w:val="21"/>
        </w:rPr>
        <w:t xml:space="preserve">to </w:t>
      </w:r>
      <w:r w:rsidR="00DE7B76" w:rsidRPr="00F0686F">
        <w:rPr>
          <w:rFonts w:asciiTheme="minorHAnsi" w:hAnsiTheme="minorHAnsi" w:cstheme="minorHAnsi"/>
          <w:sz w:val="21"/>
          <w:szCs w:val="21"/>
        </w:rPr>
        <w:t>engage in early learning services; support the transition to school</w:t>
      </w:r>
      <w:r w:rsidR="001D54D9">
        <w:rPr>
          <w:rFonts w:asciiTheme="minorHAnsi" w:hAnsiTheme="minorHAnsi" w:cstheme="minorHAnsi"/>
          <w:sz w:val="21"/>
          <w:szCs w:val="21"/>
        </w:rPr>
        <w:t>,</w:t>
      </w:r>
      <w:r w:rsidR="00DE7B76" w:rsidRPr="00F0686F">
        <w:rPr>
          <w:rFonts w:asciiTheme="minorHAnsi" w:hAnsiTheme="minorHAnsi" w:cstheme="minorHAnsi"/>
          <w:sz w:val="21"/>
          <w:szCs w:val="21"/>
        </w:rPr>
        <w:t xml:space="preserve"> and build system capability.</w:t>
      </w:r>
    </w:p>
    <w:p w14:paraId="1C0470C1" w14:textId="77777777" w:rsidR="00F37299" w:rsidRPr="00F37299" w:rsidRDefault="00F37299" w:rsidP="00F3729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11A3C"/>
          <w:sz w:val="21"/>
          <w:szCs w:val="21"/>
        </w:rPr>
      </w:pPr>
      <w:r w:rsidRPr="00F37299">
        <w:rPr>
          <w:rFonts w:ascii="Calibri" w:hAnsi="Calibri" w:cs="Calibri"/>
          <w:color w:val="011A3C"/>
          <w:sz w:val="21"/>
          <w:szCs w:val="21"/>
        </w:rPr>
        <w:t>Find further </w:t>
      </w:r>
      <w:hyperlink r:id="rId15" w:history="1">
        <w:r w:rsidRPr="00F37299">
          <w:rPr>
            <w:rStyle w:val="rpl-text-label"/>
            <w:rFonts w:ascii="Calibri" w:hAnsi="Calibri" w:cs="Calibri"/>
            <w:color w:val="0052C2"/>
            <w:sz w:val="21"/>
            <w:szCs w:val="21"/>
          </w:rPr>
          <w:t>transition resources to support students in out of home </w:t>
        </w:r>
        <w:r w:rsidRPr="00F37299">
          <w:rPr>
            <w:rStyle w:val="rpl-text-icongroup"/>
            <w:rFonts w:ascii="Calibri" w:hAnsi="Calibri" w:cs="Calibri"/>
            <w:color w:val="0052C2"/>
            <w:sz w:val="21"/>
            <w:szCs w:val="21"/>
          </w:rPr>
          <w:t>care</w:t>
        </w:r>
      </w:hyperlink>
      <w:r w:rsidRPr="00F37299">
        <w:rPr>
          <w:rFonts w:ascii="Calibri" w:hAnsi="Calibri" w:cs="Calibri"/>
          <w:color w:val="011A3C"/>
          <w:sz w:val="21"/>
          <w:szCs w:val="21"/>
        </w:rPr>
        <w:t>.</w:t>
      </w:r>
    </w:p>
    <w:p w14:paraId="6C9AE974" w14:textId="4A6247BB" w:rsidR="00D921C2" w:rsidRPr="00DE7B76" w:rsidRDefault="00DE7B76" w:rsidP="00464232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D34063">
        <w:rPr>
          <w:rFonts w:asciiTheme="minorHAnsi" w:hAnsiTheme="minorHAnsi" w:cstheme="minorHAnsi"/>
          <w:b/>
          <w:bCs/>
          <w:sz w:val="21"/>
          <w:szCs w:val="21"/>
        </w:rPr>
        <w:t>Natalie Garcia de Heer</w:t>
      </w:r>
      <w:r w:rsidRPr="00F0686F">
        <w:rPr>
          <w:rFonts w:asciiTheme="minorHAnsi" w:hAnsiTheme="minorHAnsi" w:cstheme="minorHAnsi"/>
          <w:b/>
          <w:bCs/>
          <w:sz w:val="21"/>
          <w:szCs w:val="21"/>
        </w:rPr>
        <w:t>, Director, Policy, Design and Coordination, Senior Secondary Pathways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Reform Taskforce</w:t>
      </w:r>
      <w:r>
        <w:rPr>
          <w:rFonts w:asciiTheme="minorHAnsi" w:hAnsiTheme="minorHAnsi" w:cstheme="minorHAnsi"/>
          <w:sz w:val="21"/>
          <w:szCs w:val="21"/>
        </w:rPr>
        <w:t xml:space="preserve"> provided an update on the senior secondary reform</w:t>
      </w:r>
      <w:r w:rsidR="00041AE5">
        <w:rPr>
          <w:rFonts w:asciiTheme="minorHAnsi" w:hAnsiTheme="minorHAnsi" w:cstheme="minorHAnsi"/>
          <w:sz w:val="21"/>
          <w:szCs w:val="21"/>
        </w:rPr>
        <w:t>s. These reforms have many streams of work including moving to a new integrated senior secondary certificate to bring together the VCE and VCAL. Natalie will return for the Term 2 meeting on engagement/disengagement to provide a more detailed presentation.</w:t>
      </w:r>
    </w:p>
    <w:p w14:paraId="6CFECC4F" w14:textId="77777777" w:rsidR="006C7EEF" w:rsidRDefault="006C7EEF" w:rsidP="006C7EEF">
      <w:pPr>
        <w:pStyle w:val="Heading1"/>
        <w:spacing w:after="240"/>
        <w:rPr>
          <w:b/>
          <w:bCs/>
        </w:rPr>
      </w:pPr>
      <w:r>
        <w:rPr>
          <w:b/>
          <w:bCs/>
        </w:rPr>
        <w:t>Next meeting</w:t>
      </w:r>
    </w:p>
    <w:p w14:paraId="05F0DCE0" w14:textId="3C4E4B4C" w:rsidR="006C7EEF" w:rsidRPr="00AC2439" w:rsidRDefault="006C7EEF" w:rsidP="006C7EEF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AC2439">
        <w:rPr>
          <w:rFonts w:asciiTheme="minorHAnsi" w:hAnsiTheme="minorHAnsi" w:cstheme="minorHAnsi"/>
          <w:sz w:val="21"/>
          <w:szCs w:val="21"/>
        </w:rPr>
        <w:t xml:space="preserve">The Term </w:t>
      </w:r>
      <w:r>
        <w:rPr>
          <w:rFonts w:asciiTheme="minorHAnsi" w:hAnsiTheme="minorHAnsi" w:cstheme="minorHAnsi"/>
          <w:sz w:val="21"/>
          <w:szCs w:val="21"/>
        </w:rPr>
        <w:t>2</w:t>
      </w:r>
      <w:r w:rsidRPr="00AC2439">
        <w:rPr>
          <w:rFonts w:asciiTheme="minorHAnsi" w:hAnsiTheme="minorHAnsi" w:cstheme="minorHAnsi"/>
          <w:sz w:val="21"/>
          <w:szCs w:val="21"/>
        </w:rPr>
        <w:t xml:space="preserve"> meeting will be on the theme of </w:t>
      </w:r>
      <w:r>
        <w:rPr>
          <w:rFonts w:asciiTheme="minorHAnsi" w:hAnsiTheme="minorHAnsi" w:cstheme="minorHAnsi"/>
          <w:sz w:val="21"/>
          <w:szCs w:val="21"/>
        </w:rPr>
        <w:t>Engagement/Disengagement</w:t>
      </w:r>
      <w:r w:rsidRPr="00AC2439">
        <w:rPr>
          <w:rFonts w:asciiTheme="minorHAnsi" w:hAnsiTheme="minorHAnsi" w:cstheme="minorHAnsi"/>
          <w:sz w:val="21"/>
          <w:szCs w:val="21"/>
        </w:rPr>
        <w:t>. Please contact VCOSS if there is something that you’d like to share with us, to guide our planning for future meetings.</w:t>
      </w:r>
    </w:p>
    <w:p w14:paraId="04563FB1" w14:textId="77777777" w:rsidR="006C7EEF" w:rsidRPr="00AC2439" w:rsidRDefault="006C7EEF" w:rsidP="006C7EEF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AC2439">
        <w:rPr>
          <w:rFonts w:asciiTheme="minorHAnsi" w:hAnsiTheme="minorHAnsi" w:cstheme="minorHAnsi"/>
          <w:sz w:val="21"/>
          <w:szCs w:val="21"/>
        </w:rPr>
        <w:t>Deb Fewster, Director, Policy and Advocacy</w:t>
      </w:r>
    </w:p>
    <w:p w14:paraId="7BD61342" w14:textId="77777777" w:rsidR="006C7EEF" w:rsidRPr="00AC2439" w:rsidRDefault="006C7EEF" w:rsidP="006C7EEF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AC2439">
        <w:rPr>
          <w:rFonts w:asciiTheme="minorHAnsi" w:hAnsiTheme="minorHAnsi" w:cstheme="minorHAnsi"/>
          <w:sz w:val="21"/>
          <w:szCs w:val="21"/>
        </w:rPr>
        <w:t xml:space="preserve">Email: </w:t>
      </w:r>
      <w:hyperlink r:id="rId16" w:history="1">
        <w:r w:rsidRPr="00AC2439">
          <w:rPr>
            <w:rStyle w:val="Hyperlink"/>
            <w:rFonts w:asciiTheme="minorHAnsi" w:hAnsiTheme="minorHAnsi" w:cstheme="minorHAnsi"/>
            <w:sz w:val="21"/>
            <w:szCs w:val="21"/>
          </w:rPr>
          <w:t>Deborah.fewster@vcoss.org.au</w:t>
        </w:r>
      </w:hyperlink>
      <w:r w:rsidRPr="00AC2439">
        <w:rPr>
          <w:rStyle w:val="Hyperlink"/>
          <w:rFonts w:asciiTheme="minorHAnsi" w:hAnsiTheme="minorHAnsi" w:cstheme="minorHAnsi"/>
          <w:sz w:val="21"/>
          <w:szCs w:val="21"/>
        </w:rPr>
        <w:t>.</w:t>
      </w:r>
    </w:p>
    <w:p w14:paraId="5EADC063" w14:textId="77777777" w:rsidR="006C7EEF" w:rsidRPr="00AC2439" w:rsidRDefault="006C7EEF" w:rsidP="006C7EEF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AC2439">
        <w:rPr>
          <w:rFonts w:asciiTheme="minorHAnsi" w:hAnsiTheme="minorHAnsi" w:cstheme="minorHAnsi"/>
          <w:sz w:val="21"/>
          <w:szCs w:val="21"/>
        </w:rPr>
        <w:t>Talisha Ohanessian, Policy Advisor</w:t>
      </w:r>
    </w:p>
    <w:p w14:paraId="4ABA8815" w14:textId="77777777" w:rsidR="006C7EEF" w:rsidRPr="00AC2439" w:rsidRDefault="006C7EEF" w:rsidP="006C7EEF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AC2439">
        <w:rPr>
          <w:rFonts w:asciiTheme="minorHAnsi" w:hAnsiTheme="minorHAnsi" w:cstheme="minorHAnsi"/>
          <w:sz w:val="21"/>
          <w:szCs w:val="21"/>
        </w:rPr>
        <w:t xml:space="preserve">Email: </w:t>
      </w:r>
      <w:hyperlink r:id="rId17" w:history="1">
        <w:r w:rsidRPr="00AC2439">
          <w:rPr>
            <w:rStyle w:val="Hyperlink"/>
            <w:rFonts w:asciiTheme="minorHAnsi" w:hAnsiTheme="minorHAnsi" w:cstheme="minorHAnsi"/>
            <w:sz w:val="21"/>
            <w:szCs w:val="21"/>
          </w:rPr>
          <w:t>Talisha.Ohanessian@vcoss.org.au</w:t>
        </w:r>
      </w:hyperlink>
      <w:r w:rsidRPr="00AC2439">
        <w:rPr>
          <w:rStyle w:val="Hyperlink"/>
          <w:rFonts w:asciiTheme="minorHAnsi" w:hAnsiTheme="minorHAnsi" w:cstheme="minorHAnsi"/>
          <w:sz w:val="21"/>
          <w:szCs w:val="21"/>
        </w:rPr>
        <w:t>.</w:t>
      </w:r>
    </w:p>
    <w:p w14:paraId="38E9661A" w14:textId="602B37A3" w:rsidR="006C7EEF" w:rsidRDefault="006C7EEF"/>
    <w:sectPr w:rsidR="006C7EEF" w:rsidSect="00AC6535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D22"/>
    <w:multiLevelType w:val="multilevel"/>
    <w:tmpl w:val="4A2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A1941"/>
    <w:multiLevelType w:val="multilevel"/>
    <w:tmpl w:val="262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571A00"/>
    <w:multiLevelType w:val="hybridMultilevel"/>
    <w:tmpl w:val="609A9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7157"/>
    <w:multiLevelType w:val="multilevel"/>
    <w:tmpl w:val="D59E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3318BB"/>
    <w:multiLevelType w:val="hybridMultilevel"/>
    <w:tmpl w:val="FABEE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EF"/>
    <w:rsid w:val="00015FE5"/>
    <w:rsid w:val="000313CF"/>
    <w:rsid w:val="00031F91"/>
    <w:rsid w:val="00041AE5"/>
    <w:rsid w:val="000E49A7"/>
    <w:rsid w:val="000F378B"/>
    <w:rsid w:val="0011223F"/>
    <w:rsid w:val="00133B7C"/>
    <w:rsid w:val="0015076A"/>
    <w:rsid w:val="00153392"/>
    <w:rsid w:val="001640F5"/>
    <w:rsid w:val="001859F3"/>
    <w:rsid w:val="00186BC8"/>
    <w:rsid w:val="001A4BF8"/>
    <w:rsid w:val="001A7630"/>
    <w:rsid w:val="001D54D9"/>
    <w:rsid w:val="001E6746"/>
    <w:rsid w:val="001F2B70"/>
    <w:rsid w:val="00226545"/>
    <w:rsid w:val="00231081"/>
    <w:rsid w:val="00240267"/>
    <w:rsid w:val="0024537B"/>
    <w:rsid w:val="002B6DB9"/>
    <w:rsid w:val="002E770F"/>
    <w:rsid w:val="00307922"/>
    <w:rsid w:val="00324203"/>
    <w:rsid w:val="00371B68"/>
    <w:rsid w:val="0037397E"/>
    <w:rsid w:val="003754E2"/>
    <w:rsid w:val="00393CF7"/>
    <w:rsid w:val="003C4B0B"/>
    <w:rsid w:val="00411C63"/>
    <w:rsid w:val="00464232"/>
    <w:rsid w:val="00490346"/>
    <w:rsid w:val="004C6E98"/>
    <w:rsid w:val="004D7E26"/>
    <w:rsid w:val="00501368"/>
    <w:rsid w:val="0050243A"/>
    <w:rsid w:val="00542A72"/>
    <w:rsid w:val="005F5706"/>
    <w:rsid w:val="005F70D6"/>
    <w:rsid w:val="00650F5C"/>
    <w:rsid w:val="00652DD3"/>
    <w:rsid w:val="0067652E"/>
    <w:rsid w:val="006A5783"/>
    <w:rsid w:val="006B49FA"/>
    <w:rsid w:val="006C4EBC"/>
    <w:rsid w:val="006C7EEF"/>
    <w:rsid w:val="006F30DB"/>
    <w:rsid w:val="00791943"/>
    <w:rsid w:val="007C2950"/>
    <w:rsid w:val="0084514A"/>
    <w:rsid w:val="008A31ED"/>
    <w:rsid w:val="00954B1B"/>
    <w:rsid w:val="00AC6535"/>
    <w:rsid w:val="00AF75C7"/>
    <w:rsid w:val="00B918BF"/>
    <w:rsid w:val="00C12A3E"/>
    <w:rsid w:val="00C72BA0"/>
    <w:rsid w:val="00CA0A20"/>
    <w:rsid w:val="00CB26D9"/>
    <w:rsid w:val="00D11FD4"/>
    <w:rsid w:val="00D34063"/>
    <w:rsid w:val="00D64F1B"/>
    <w:rsid w:val="00D84065"/>
    <w:rsid w:val="00D921C2"/>
    <w:rsid w:val="00DE7B76"/>
    <w:rsid w:val="00DF5EED"/>
    <w:rsid w:val="00E16405"/>
    <w:rsid w:val="00E25E10"/>
    <w:rsid w:val="00E34543"/>
    <w:rsid w:val="00EA45C4"/>
    <w:rsid w:val="00EC25D8"/>
    <w:rsid w:val="00F0686F"/>
    <w:rsid w:val="00F37299"/>
    <w:rsid w:val="00F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DC3F"/>
  <w15:chartTrackingRefBased/>
  <w15:docId w15:val="{244BD801-B1D2-4217-8337-C54070E2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E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IntenseEmphasis">
    <w:name w:val="Intense Emphasis"/>
    <w:uiPriority w:val="21"/>
    <w:qFormat/>
    <w:rsid w:val="006C7EEF"/>
    <w:rPr>
      <w:i/>
      <w:iCs/>
      <w:color w:val="5B9BD5"/>
    </w:rPr>
  </w:style>
  <w:style w:type="paragraph" w:styleId="NormalWeb">
    <w:name w:val="Normal (Web)"/>
    <w:basedOn w:val="Normal"/>
    <w:uiPriority w:val="99"/>
    <w:unhideWhenUsed/>
    <w:rsid w:val="006C7EE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C7E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F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6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DB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DB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C7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F70D6"/>
    <w:rPr>
      <w:color w:val="954F72" w:themeColor="followedHyperlink"/>
      <w:u w:val="single"/>
    </w:rPr>
  </w:style>
  <w:style w:type="character" w:customStyle="1" w:styleId="rpl-text-label">
    <w:name w:val="rpl-text-label"/>
    <w:basedOn w:val="DefaultParagraphFont"/>
    <w:rsid w:val="00324203"/>
  </w:style>
  <w:style w:type="character" w:customStyle="1" w:styleId="rpl-text-icongroup">
    <w:name w:val="rpl-text-icon__group"/>
    <w:basedOn w:val="DefaultParagraphFont"/>
    <w:rsid w:val="00324203"/>
  </w:style>
  <w:style w:type="paragraph" w:styleId="ListParagraph">
    <w:name w:val="List Paragraph"/>
    <w:basedOn w:val="Normal"/>
    <w:uiPriority w:val="34"/>
    <w:qFormat/>
    <w:rsid w:val="000F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oss.org.au/sector-hub/networks/education-partnership/" TargetMode="External"/><Relationship Id="rId13" Type="http://schemas.openxmlformats.org/officeDocument/2006/relationships/hyperlink" Target="https://www2.education.vic.gov.au/pal/youth-justice-additional-support-young-people/polic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education.vic.gov.au/about/programs/Pages/lookout.aspx" TargetMode="External"/><Relationship Id="rId17" Type="http://schemas.openxmlformats.org/officeDocument/2006/relationships/hyperlink" Target="file:///C:\Users\TalishaOhanessian\Documents\Talisha.Ohanessian@vcoss.org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borah.fewster@vcoss.org.a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coss.org.au/index.htm" TargetMode="External"/><Relationship Id="rId11" Type="http://schemas.openxmlformats.org/officeDocument/2006/relationships/hyperlink" Target="https://www.unitingvictas.org.au/services/multicultural-servic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2.education.vic.gov.au/pal/supporting-students-out-home-care/resources" TargetMode="External"/><Relationship Id="rId10" Type="http://schemas.openxmlformats.org/officeDocument/2006/relationships/hyperlink" Target="https://earlylearning.unitingvictas.org.a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vic.gov.au/about/department/Pages/partnerships.aspx" TargetMode="External"/><Relationship Id="rId14" Type="http://schemas.openxmlformats.org/officeDocument/2006/relationships/hyperlink" Target="https://www.vicllens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About this Communique</vt:lpstr>
      <vt:lpstr>What was discussed in the March 2022 meeting?</vt:lpstr>
      <vt:lpstr>Supporting under-represented cohorts into early learning</vt:lpstr>
      <vt:lpstr>Transitions for young people with youth justice involvement</vt:lpstr>
      <vt:lpstr>Quick updates</vt:lpstr>
      <vt:lpstr>Next meeting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Talisha Ohanessian</dc:creator>
  <cp:keywords/>
  <dc:description/>
  <cp:lastModifiedBy>Jill Kidd</cp:lastModifiedBy>
  <cp:revision>2</cp:revision>
  <dcterms:created xsi:type="dcterms:W3CDTF">2022-04-27T01:52:00Z</dcterms:created>
  <dcterms:modified xsi:type="dcterms:W3CDTF">2022-04-27T01:52:00Z</dcterms:modified>
</cp:coreProperties>
</file>